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267/2019 vom 2. April 2019</w:t>
      </w:r>
    </w:p>
    <w:p>
      <w:r>
        <w:t>Bundesgericht, 2019-04-02, DE</w:t>
      </w:r>
    </w:p>
    <w:p>
      <w:r>
        <w:rPr>
          <w:b/>
        </w:rPr>
        <w:t xml:space="preserve">Quelle: </w:t>
      </w:r>
      <w:r>
        <w:t>https://mcp.opencaselaw.ch/entscheid/bger_5A_267_2019</w:t>
      </w:r>
    </w:p>
    <w:p>
      <w:r>
        <w:t>FR: TF 5A 267/2019 du 2 avril 2019</w:t>
      </w:r>
    </w:p>
    <w:p>
      <w:r>
        <w:t>IT: TF 5A 267/2019 del 2 aprile 2019</w:t>
      </w:r>
    </w:p>
    <w:p>
      <w:pPr>
        <w:pStyle w:val="Heading2"/>
      </w:pPr>
      <w:r>
        <w:t>Regeste</w:t>
      </w:r>
    </w:p>
    <w:p>
      <w:r>
        <w:t>Pfändungsankündigung | Schuldbetreibungs- und Konkursrecht</w:t>
      </w:r>
    </w:p>
    <w:p>
      <w:pPr>
        <w:pStyle w:val="Heading2"/>
      </w:pPr>
      <w:r>
        <w:t>Erwägungen</w:t>
      </w:r>
    </w:p>
    <w:p>
      <w:r>
        <w:rPr>
          <w:b/>
        </w:rPr>
        <w:t>E. 1</w:t>
      </w:r>
    </w:p>
    <w:p>
      <w:r>
        <w:t>Mit Entscheid vom 20. Februar 2019 trat das Bezirksgericht Kulm auf eine Beschwerde des Beschwerdeführers vom 12. Februar 2019 gegen eine Pfändungsankündigung nicht ein und auferlegte dem Beschwerdeführer eine Gebühr von Fr. 600.--. Dagegen erhob der Beschwerdeführer am 7. März 2019 Beschwerde an das Obergericht des Kantons Aargau. Mit Entscheid vom 15. März 2019 trat das Obergericht auf die Beschwerde nicht ein. Es auferlegte dem Beschwerdeführer die Verfahrenskosten von Fr. 400.--. Am 29. März 2019 hat der Beschwerdeführer Beschwerde an das Bundesgericht erhoben.</w:t>
      </w:r>
    </w:p>
    <w:p>
      <w:r>
        <w:rPr>
          <w:b/>
        </w:rPr>
        <w:t>E. 2</w:t>
      </w:r>
    </w:p>
    <w:p>
      <w:r>
        <w:t>Gegen den obergerichtlichen Entscheid steht die Beschwerde in Zivilsachen zur Verfügung ( Art. 72 Abs. 2 lit. a, Art. 74 Abs. 2 lit. c, Art. 75, Art. 90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3.1</w:t>
      </w:r>
    </w:p>
    <w:p>
      <w:r>
        <w:t>Das Obergericht ist auf die Beschwerde nicht eingetreten, weil sich der Beschwerdeführer mit den Begründungen des bezirksgerichtlichen Entscheids nicht auseinandergesetzt habe. Auf die Beschwerde sei auch mangels Rechtsschutzinteresses nicht einzutreten. Der Beschwerdeführer verlange sinngemäss die Aufschiebung des auf den 11. Februar 2019 angesetzten Pfändungsvollzugs, doch sei dieser Zeitpunkt bereits bei Einreichung der Beschwerde an das Bezirksgericht verstrichen gewesen. Wie bereits das Bezirksgericht hat auch das Obergericht dem Beschwerdeführer wegen Mutwilligkeit die Gerichtskosten auferlegt.</w:t>
      </w:r>
    </w:p>
    <w:p>
      <w:r>
        <w:rPr>
          <w:b/>
        </w:rPr>
        <w:t>E. 3.2</w:t>
      </w:r>
    </w:p>
    <w:p>
      <w:r>
        <w:t>Der Beschwerdeführer geht auf all dies vor Bundesgericht nicht ein. Stattdessen rügt er eine Verletzung des rechtlichen Gehörs, denn Bezirks- und Obergericht hätten ihn nie auf formelle Mängel hingewiesen. Soweit der Beschwerdeführer das Verhalten des Bezirksgerichts kritisiert, hätte er dies vor Obergericht tun müssen. Weshalb ihn das Obergericht auf formelle Mängel hätte aufmerksam machen müssten, legt er nicht dar. Die stichwortartige Anrufung des rechtlichen Gehörs genügt dazu nicht. Im Übrigen übergeht er, dass bereits das Bezirksgericht ihm vorgehalten hat, die Anforderungen an eine Beschwerde seien ihm aus vorangegangenen Verfahren bekannt, er sei prozesserfahren und seine Berufung auf ein "Laienrecht" sei missbräuchlich. Die Beschwerde enthält damit offensichtlich keine hinreichende Begründung. Auch vor Bundesgericht beruft sich der Beschwerdeführer auf sein "Laienrecht": Er bittet um schriftliche Belehrung, wenn seine Eingabe einen Fehler aufweisen sollte. Wie dem Beschwerdeführer aus früheren Verfahren bekannt ist (Urteil 5A_103/2019 vom 11. Februar 2019 E. 4), stellt die ungenügende Begründung der Beschwerde an das Bundesgericht keinen verbesserlichen Mangel dar. Eine Rückweisung zur Verbesserung fällt ausser Betracht ( BGE 134 II 244 E. 2.4.2 S. 247 f.). Die Beschwerde ist zudem querulatorisch und rechtsmissbräuchlich, denn dem Beschwerdeführer geht es offenbar einzig um Verfahrensverzögerungen. Auf die Beschwerde ist demnach im vereinfachten Verfahren durch das präsidierende Mitglied der Abteilung nicht einzutreten ( Art. 108 Abs. 1 lit. b und c BGG ). Mit dem Entscheid in der Sache wird das Gesuch um aufschiebende Wirkung gegenstandslos.</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