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5A_267/2009 vom 5. Juni 2009</w:t>
      </w:r>
    </w:p>
    <w:p>
      <w:r>
        <w:t>Bundesgericht, 2009-06-05, FR</w:t>
      </w:r>
    </w:p>
    <w:p>
      <w:r>
        <w:rPr>
          <w:b/>
        </w:rPr>
        <w:t xml:space="preserve">Quelle: </w:t>
      </w:r>
      <w:r>
        <w:t>https://mcp.opencaselaw.ch/entscheid/bger_5A_267_2009</w:t>
      </w:r>
    </w:p>
    <w:p>
      <w:r>
        <w:t>FR: TF 5A_267/2009 du 5 juin 2009</w:t>
      </w:r>
    </w:p>
    <w:p>
      <w:r>
        <w:t>IT: TF 5A_267/2009 del 5 giugno 2009</w:t>
      </w:r>
    </w:p>
    <w:p>
      <w:pPr>
        <w:pStyle w:val="Heading2"/>
      </w:pPr>
      <w:r>
        <w:t>Erwägungen</w:t>
      </w:r>
    </w:p>
    <w:p>
      <w:r>
        <w:rPr>
          <w:b/>
        </w:rPr>
        <w:t>E. 1.1</w:t>
      </w:r>
    </w:p>
    <w:p>
      <w:r>
        <w:t>Interjeté dans le délai de l' art. 100 al. 2 let. a LTF , compte tenu de la suspension de l' art. 46 al. 1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indépendamment de la valeur litigieuse ( art. 74 al. 2 let . c LTF).</w:t>
      </w:r>
    </w:p>
    <w:p>
      <w:r>
        <w:rPr>
          <w:b/>
        </w:rPr>
        <w:t>E. 1.2</w:t>
      </w:r>
    </w:p>
    <w:p>
      <w:r>
        <w:t>Le chef de conclusions tendant à ce que l'office procède à la saisie pour un montant de créance de 15'883 fr. et non pas seulement de 5'123 fr. n'est pas du tout motivé conformément aux exigences de l' art. 42 al. 1 et 2 LTF . La décision attaquée retient sur ce point (p. 3, consid. D in fine) que, selon les explications de l'office, l'acte de défaut de biens litigieux ne concerne qu'une des deux poursuites exercées par la recourante contre la débitrice, l'acte de défaut de biens concernant la seconde poursuite étant revenu non réclamé faute de paiement des frais par le créancier. La recourante ne souffle mot de la question. La conclusion qu'elle formule sur le sujet est donc irrecevable.</w:t>
      </w:r>
    </w:p>
    <w:p>
      <w:r>
        <w:rPr>
          <w:b/>
        </w:rPr>
        <w:t>E. 2</w:t>
      </w:r>
    </w:p>
    <w:p>
      <w:r>
        <w:t>L'essentiel des griefs soulevés devant la Cour de céans repose sur le fait que les 4 classeurs fédéraux remis à l'office par la débitrice ont été mis à la disposition, non pas de la recourante, mais de la commission de surveillance, qui aurait dû statuer à leur sujet et non pas se borner à reprocher à la recourante de ne pas avoir sollicité leur examen. En procédant de la sorte, l'autorité cantonale aurait enfreint son devoir de constatation d'office des faits ( art. 20a al. 2 ch. 2 LP ), commis un déni de justice ( art. 29 al. 1 Cst. ) et violé le droit d'être entendu de la recourante ( art. 29 al. 2 Cst. ).</w:t>
      </w:r>
    </w:p>
    <w:p>
      <w:r>
        <w:rPr>
          <w:b/>
        </w:rPr>
        <w:t>E. 2.1</w:t>
      </w:r>
    </w:p>
    <w:p>
      <w:r>
        <w:t>Aux termes de l' art. 20a al. 2 ch. 2 LP , l'autorité de surveillance constate les faits d'office; elle peut demander aux parties de collaborer et peut déclarer irrecevables leurs conclusions lorsqu'elles refusent de prêter le concours nécessaire que l'on peut attendre d'elles.</w:t>
      </w:r>
    </w:p>
    <w:p>
      <w:r>
        <w:t>La maxime inquisitoire prévue par cette disposition impose à l'autorité cantonale de surveillance de diriger la procédure, de définir les faits pertinents et les preuves nécessaires, d'ordonner l'administration de ces preuves et de les apprécier d'office (arrêt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 Les parties intéressées à une procédure d'exécution forcée n'en sont pas moins tenues de collaborer à l'établissement des faits (cf. à ce sujet: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7B.100/2004 du 4 août 2004, consid. 3.1); à défaut de collaboration, l'autorité de surveillance n'a pas à établir des faits qui ne résultent pas du dossier ( ATF 123 III 328 consid. 3 p. 329).</w:t>
      </w:r>
    </w:p>
    <w:p>
      <w:r>
        <w:t>Par ailleurs, la maxime inquisitoire n'exclut pas l'appréciation anticipée d'une preuve qui la fait apparaître vouée à l'échec faute de force probante suffisante, impropre à modifier le résultat des preuves déjà administrées ou superflue (P.-R. Gilliéron, Commentaire de la loi fédérale sur la poursuite pour dettes et la faillite, n. 59 ad art. 20a LP et la jurisprudence citée).</w:t>
      </w:r>
    </w:p>
    <w:p>
      <w:r>
        <w:rPr>
          <w:b/>
        </w:rPr>
        <w:t>E. 2.2</w:t>
      </w:r>
    </w:p>
    <w:p>
      <w:r>
        <w:t>Compris comme l'un des aspects de la notion générale de procès équitable au sens de l' art. 29 al. 1 Cst. , le droit d'être entendu garanti à l'alinéa 2 de cette norme constitutionnelle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Lorsque le droit de procédure applicable ne prévoit pas de communication de la prise de position, l'autorité doit informer la partie du dépôt de celle-ci et de la possibilité de se déterminer à son sujet. S'il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 p. 46).</w:t>
      </w:r>
    </w:p>
    <w:p>
      <w:r>
        <w:rPr>
          <w:b/>
        </w:rPr>
        <w:t>E. 2.3</w:t>
      </w:r>
    </w:p>
    <w:p>
      <w:r>
        <w:t>En l'espèce, par courrier du 25 février 2009, la commission cantonale de surveillance a communiqué à la recourante, pour information, une copie de la lettre de l'office du 20 février 2009 mentionnant la remise des 4 classeurs de justificatifs « afin que le plaignant [la recourante] en prenne connaissance » ou en vue d'une éventuelle expertise comptable moyennant avance de frais de 3'000 fr. La commission précisait que l'instruction de la cause était close « sous réserve de mesures d'instruction complémentaires que la Commission jugera utiles et de l' art. 74 LPA », disposition autorisant des écritures complémentaires estimées nécessaires.</w:t>
      </w:r>
    </w:p>
    <w:p>
      <w:r>
        <w:t>En réponse audit courrier de la commission de surveillance, qui « a [pourtant] retenu toute [son] attention », la recourante n'a pas fait savoir qu'il lui importait de consulter les classeurs de justificatifs en question et de prendre position à leur sujet, ni qu'elle entendait qu'une expertise comptable fût mise en oeuvre, donnant ainsi à penser, conformément à la jurisprudence exposée ci-dessus, qu'elle renonçait à de telles démarches et acceptait par conséquent que l'instruction fût définitivement close. Elle s'est bornée à requérir, « sur la base des éléments recueillis », des renseignements sur le(s) compte(s) ayant servi à régler une note d'avocat concernant la procédure de mainlevée. La commission de surveillance pouvait, sur ce point et les autres, renoncer par appréciation anticipée des preuves à de plus amples investigations. Rien dans le recours ne permet de retenir qu'elle aurait usé de cette faculté de manière abusive, la recourante se contentant d'ailleurs de prétendre avoir été de bonne foi en adoptant un comportement attentiste au lieu de réagir comme le préconise la jurisprudence.</w:t>
      </w:r>
    </w:p>
    <w:p>
      <w:r>
        <w:rPr>
          <w:b/>
        </w:rPr>
        <w:t>E. 2.4</w:t>
      </w:r>
    </w:p>
    <w:p>
      <w:r>
        <w:t>Il s'ensuit que les griefs de nature formelle fondés sur les art. 20a al. 2 ch. 2 LP et 29 Cst. doivent être rejetés.</w:t>
      </w:r>
    </w:p>
    <w:p>
      <w:r>
        <w:rPr>
          <w:b/>
        </w:rPr>
        <w:t>E. 3</w:t>
      </w:r>
    </w:p>
    <w:p>
      <w:r>
        <w:t>La recourante reproche à la commission cantonale de surveillance d'avoir violé l' art. 91 LP en considérant que « les investigations de l'office [étaient] des plus complètes et exhaustives en l'espèce », alors que ce dernier n'aurait procédé à aucun examen des pièces contenues dans les 4 classeurs de justificatifs.</w:t>
      </w:r>
    </w:p>
    <w:p>
      <w:r>
        <w:rPr>
          <w:b/>
        </w:rPr>
        <w:t>E. 3.1</w:t>
      </w:r>
    </w:p>
    <w:p>
      <w:r>
        <w:t>En vertu de l' art. 91 LP , l'office en charge de l'exécution de la saisie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(Gilliéron, op. cit., n. 12 ad art. 91 LP ).</w:t>
      </w:r>
    </w:p>
    <w:p>
      <w:r>
        <w:t>Il est constant que l'office a interrogé la débitrice, s'est enquis auprès des banques de la place de l'existence d'avoirs détenus par celle-ci et a, suite à la plainte de la recourante, procédé à des investigations complémentaires, notamment par rapport aux comptes bancaires et postal de la débitrice, dont tous les relevés ont été produits. L'office a également obtenu de la débitrice le dépôt de 4 classeurs de justificatifs des paiements qu'elle avait opérés. Il a en outre procédé à la visite de ses deux logements.</w:t>
      </w:r>
    </w:p>
    <w:p>
      <w:r>
        <w:t>Le grief de violation de l' art. 91 LP s'avère, dans ces conditions, manifestement mal fondé, d'autant que, pas plus en instance fédérale qu'en instance cantonale, la recourante n'a apporté le moindre élément tendant à démontrer que la débitrice aurait dissimulé des biens. Elle n'a pas davantage critiqué le choix de l'office de ne pas dénoncer les faits pénalement puisque ceux-ci remontaient à plus de trois ans avant la date de la saisie (cf. rapport de l'office du 4 novembre 2008).</w:t>
      </w:r>
    </w:p>
    <w:p>
      <w:r>
        <w:rPr>
          <w:b/>
        </w:rPr>
        <w:t>E. 3.2</w:t>
      </w:r>
    </w:p>
    <w:p>
      <w:r>
        <w:t>Au demeurant, conformément à la jurisprudence rappelée ci-dessus (consid. 2.1 et 2.2), il appartenait en principe à la recourante, en tant que partie directement concernée, de décider si des pièces nouvellement versées au dossier contenaient des éléments déterminants appelant des observations de sa part. Informée par la commission de surveillance du dépôt de telles pièces et de la proposition de l'office de les mettre à sa disposition, pour consultation ou requête d'expertise comptable moyennant avance de frais, elle a ainsi été mise en situation de faire ou non usage de l'une de ces possibilités. Dès lors qu'elle s'en est abstenue, sous réserve de la question du règlement d'une note d'avocat jugée non déterminante par appréciation anticipée des preuves, elle est censée y avoir renoncé.</w:t>
      </w:r>
    </w:p>
    <w:p>
      <w:r>
        <w:t>Le grief de violation de l' art. 91 LP doit par conséquent également être rejeté.</w:t>
      </w:r>
    </w:p>
    <w:p>
      <w:r>
        <w:rPr>
          <w:b/>
        </w:rPr>
        <w:t>E. 4</w:t>
      </w:r>
    </w:p>
    <w:p>
      <w:r>
        <w:t>Il résulte de ce qui précède que le recours doit être rejeté dans la mesure de sa recevabilité, aux frais de son auteur ( art. 66 al. 1 LTF ).</w:t>
      </w:r>
    </w:p>
    <w:p>
      <w:r>
        <w:t>Il n'y a pas lieu d'allouer des dépens, dès lors que le dépôt d'une réponse n'a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