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5A_266/2018 vom 23. März 2018</w:t>
      </w:r>
    </w:p>
    <w:p>
      <w:r>
        <w:t>Bundesgericht, 2018-03-23, DE</w:t>
      </w:r>
    </w:p>
    <w:p>
      <w:r>
        <w:rPr>
          <w:b/>
        </w:rPr>
        <w:t xml:space="preserve">Quelle: </w:t>
      </w:r>
      <w:r>
        <w:t>https://mcp.opencaselaw.ch/entscheid/bger_5A_266_2018</w:t>
      </w:r>
    </w:p>
    <w:p>
      <w:r>
        <w:t>FR: TF 5A_266/2018 du 23 mars 2018</w:t>
      </w:r>
    </w:p>
    <w:p>
      <w:r>
        <w:t>IT: TF 5A_266/2018 del 23 marzo 2018</w:t>
      </w:r>
    </w:p>
    <w:p>
      <w:pPr>
        <w:pStyle w:val="Heading2"/>
      </w:pPr>
      <w:r>
        <w:t>Erwägungen</w:t>
      </w:r>
    </w:p>
    <w:p>
      <w:r>
        <w:rPr>
          <w:b/>
        </w:rPr>
        <w:t>E. 1</w:t>
      </w:r>
    </w:p>
    <w:p>
      <w:r>
        <w:t>Angefochten ist der kantonal letztinstanzliche Entscheid betreffend fürsorgerische Unterbringung;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weder ein Rechtsbegehren im Zusammenhang mit der fürsorgerischen Unterbringung (sinngemäss scheint die Beschwerdeführerin den Ersatz ihrer verlorenen Identitätskarte sowie eine Wohnung zu verlangen) noch eine ansatzweise Auseinandersetzung mit dem angefochtenen Entscheid, welcher sich unter Bezugnahme auf das erstellte Gutachten ausführlich zum Schwächezustand (paranoide Schizophrenie sowie Alkohol- und Benzodiazepinabhängigkeitssyndrom), zur fehlenden Krankheitseinsicht sowie zum selbst- und drittgefährdenden Verhalten, zur Erforderlichkeit der Unterbringung und zur Eignung der Klinik ausführlich äussert, sondern lediglich Ausführungen zur familiären Situation.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