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266/2011 vom 24. Oktober 2011</w:t>
      </w:r>
    </w:p>
    <w:p>
      <w:r>
        <w:t>Bundesgericht, 2011-10-24, DE</w:t>
      </w:r>
    </w:p>
    <w:p>
      <w:r>
        <w:rPr>
          <w:b/>
        </w:rPr>
        <w:t xml:space="preserve">Quelle: </w:t>
      </w:r>
      <w:r>
        <w:t>https://mcp.opencaselaw.ch/entscheid/bger_5A_266_2011</w:t>
      </w:r>
    </w:p>
    <w:p>
      <w:r>
        <w:t>FR: TF 5A 266/2011 du 24 octobre 2011</w:t>
      </w:r>
    </w:p>
    <w:p>
      <w:r>
        <w:t>IT: TF 5A 266/2011 del 24 ottobre 2011</w:t>
      </w:r>
    </w:p>
    <w:p>
      <w:pPr>
        <w:pStyle w:val="Heading2"/>
      </w:pPr>
      <w:r>
        <w:t>Regeste</w:t>
      </w:r>
    </w:p>
    <w:p>
      <w:r>
        <w:t>Verantwortlichkeit des Beistandes | Familienrecht</w:t>
      </w:r>
    </w:p>
    <w:p>
      <w:pPr>
        <w:pStyle w:val="Heading2"/>
      </w:pPr>
      <w:r>
        <w:t>Erwägungen</w:t>
      </w:r>
    </w:p>
    <w:p>
      <w:r>
        <w:rPr>
          <w:b/>
        </w:rPr>
        <w:t>E. 1</w:t>
      </w:r>
    </w:p>
    <w:p>
      <w:r>
        <w:t>Wie die Aufsicht über die Vormundschaftsbehörden (dazu ausdrücklich Art. 72 Abs. 2 lit. b Ziff. 5 BGG) steht auch die Verantwortlichkeit des Beistandes in unmittelbarem Zusammenhang mit dem Zivilrecht, weshalb sie ebenfalls der Beschwerde in Zivilsachen unterliegt (vgl. Urteil vom 5A_594/2008 vom 2. Dezember 2008 E. 1.2). Mit Beschwerde in Zivilsachen anfechtbar sind nach Art. 75 Abs. 2 BGG jedoch nur solche Urteile, die von einem oberen kantonalen Gericht als Rechtsmittelinstanz entschieden wurden. Diese Anforderungen gelten für die nach dem 1. Januar 2011 eröffneten Urteile vollumfänglich, weil für diese der übergangsrechtliche Vorbehalt von Art. 130 Abs. 2 BGG keine Anwendung findet (vgl. BGE 137 III 127 E. 1 S. 128 f.). Vorliegend war das Kantonsgericht bei Einleitung der Klage am 2. November 2009 gestützt auf Art. 149 GOG/FR als einzige kantonale Instanz entscheidzuständig. Der Entscheid wurde indes erst am 17. Januar 2011 gefällt und der Kanton Freiburg ist mithin verpflichtet, ein Rechtsmittel zur Verfügung zu stellen, wobei sich das betreffende Verfahren aufgrund von Art. 405 Abs. 1 ZPO /CH nach diesem Gesetz richtet und demgemäss die Berufung gemäss Art. 308 ff. ZPO /CH das gehörige Rechtsmittel ist (vgl. BGE 137 III 127 E. 1 S. 128 f.).</w:t>
      </w:r>
    </w:p>
    <w:p>
      <w:r>
        <w:rPr>
          <w:b/>
        </w:rPr>
        <w:t>E. 2</w:t>
      </w:r>
    </w:p>
    <w:p>
      <w:r>
        <w:t>Aus dem Gesagten ergibt sich, dass das Bundesgericht vorliegend zwar sachlich, nicht aber funktionell zuständig ist und deshalb auf die als Beschwerde in Zivilsachen eingereichte Eingabe vom 7. April 2011 nicht eingetreten werden kann. Diese ist an das Kantonsgericht Freiburg zu überweisen, welches sich im Rahmen des Meinungsaustausches zur materiellen Behandlung der Eingabe bereit erklärt hat ( Art. 30 Abs. 2 BGG ). Für das bundesgerichtliche Verfahren werden keine Kosten erhoben. Weil die Parteien betreffend Meinungsaustausch auf eine Vernehmlassung verzichtet haben, sind ihnen diesbezüglich keine Kosten entstanden, womit sich auch ein bundesgerichtlicher Entscheid über das Gesuch um unentgeltliche Rechtspflege erübrigt. Darüber sowie über die Kosten im Zusammenhang mit der Einreichung des Rechtsmittels wird im kantonsgerichtlichen Entscheid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