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5A_265/2022 vom 13. April 2022</w:t>
      </w:r>
    </w:p>
    <w:p>
      <w:r>
        <w:t>Bundesgericht, 2022-04-13, DE</w:t>
      </w:r>
    </w:p>
    <w:p>
      <w:r>
        <w:rPr>
          <w:b/>
        </w:rPr>
        <w:t xml:space="preserve">Quelle: </w:t>
      </w:r>
      <w:r>
        <w:t>https://mcp.opencaselaw.ch/entscheid/bger_5A_265_2022</w:t>
      </w:r>
    </w:p>
    <w:p>
      <w:r>
        <w:t>FR: TF 5A_265/2022 du 13 avril 2022</w:t>
      </w:r>
    </w:p>
    <w:p>
      <w:r>
        <w:t>IT: TF 5A_265/2022 del 13 aprile 2022</w:t>
      </w:r>
    </w:p>
    <w:p>
      <w:pPr>
        <w:pStyle w:val="Heading2"/>
      </w:pPr>
      <w:r>
        <w:t>Erwägungen</w:t>
      </w:r>
    </w:p>
    <w:p>
      <w:r>
        <w:rPr>
          <w:b/>
        </w:rPr>
        <w:t>E. 1</w:t>
      </w:r>
    </w:p>
    <w:p>
      <w:r>
        <w:t>Anfechtungsgegenstand bildet eine Abschreibungsverfügung zufolge Entlassung aus der fürsorgerischen Unterbringung. Eine Entschädigung für den Klinikaufenthalt war nicht Gegenstand der angefochtenen Verfügung. Allfälliger Schadenersatz wäre im Rahmen einer Verantwortlichkeitsklage nach Art. 454 Abs. 1 ZGB geltend zu machen.</w:t>
      </w:r>
    </w:p>
    <w:p>
      <w:r>
        <w:rPr>
          <w:b/>
        </w:rPr>
        <w:t>E. 2</w:t>
      </w:r>
    </w:p>
    <w:p>
      <w:r>
        <w:t>Nach dem Gesagten ist auf die Beschwerde im vereinfachten Verfahren nach Art. 108 Abs. 1 lit. a BGG nicht einzutreten.</w:t>
      </w:r>
    </w:p>
    <w:p>
      <w:r>
        <w:rPr>
          <w:b/>
        </w:rPr>
        <w:t>E. 3</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