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265/2019 vom 2. April 2019</w:t>
      </w:r>
    </w:p>
    <w:p>
      <w:r>
        <w:t>Bundesgericht, 2019-04-02, FR</w:t>
      </w:r>
    </w:p>
    <w:p>
      <w:r>
        <w:rPr>
          <w:b/>
        </w:rPr>
        <w:t xml:space="preserve">Quelle: </w:t>
      </w:r>
      <w:r>
        <w:t>https://mcp.opencaselaw.ch/entscheid/bger_5A_265_2019</w:t>
      </w:r>
    </w:p>
    <w:p>
      <w:r>
        <w:t>FR: TF 5A 265/2019 du 2 avril 2019</w:t>
      </w:r>
    </w:p>
    <w:p>
      <w:r>
        <w:t>IT: TF 5A 265/2019 del 2 aprile 2019</w:t>
      </w:r>
    </w:p>
    <w:p>
      <w:pPr>
        <w:pStyle w:val="Heading2"/>
      </w:pPr>
      <w:r>
        <w:t>Regeste</w:t>
      </w:r>
    </w:p>
    <w:p>
      <w:r>
        <w:t>placement à des fins d'assistance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5 mars 2019, la Chambre des curatelles du Tribunal cantonal du canton de Vaud a déclaré irrecevable, pour cause de tardiveté et dans la mesure où il s'agissait d'un recours et non d'une requête de mainlevée de la mesure, le courrier de A.________ daté du 25 février 2019, remis à la Poste suisse le 28 février 2019, faisant suite à la décision rendue le 7 janvier 2019 par la Justice de paix du district de la Riviera - Pays-d'Enhaut ordonnant le maintien de la mesure de placement à des fins d'assistance prononcée le 17 août 2015, pour une durée indéterminée, à son égard.</w:t>
      </w:r>
    </w:p>
    <w:p>
      <w:r>
        <w:rPr>
          <w:b/>
        </w:rPr>
        <w:t>E. 2</w:t>
      </w:r>
    </w:p>
    <w:p>
      <w:r>
        <w:t>Par lettre du 11 mars 2019 adressée au Tribunal cantonal du canton de Vaud, A.________ se plaint du maintien de la mesure de placement à des fins d'assistance en question, contraire aux droits de l'Homme, et requiert la levée de ladite mesure. Interpellé par l'autorité cantonale, A.________ a confirmé que son courrier du 11 mars 2019 devait être considéré comme un recours en matière civile au Tribunal fédéral à l'encontre de l'arrêt de la Chambre des curatelles du Tribunal cantonal du canton de Vaud. L'ensemble de ces correspondances a été transmis au Tribunal fédéral comme objet de sa compétence.</w:t>
      </w:r>
    </w:p>
    <w:p>
      <w:r>
        <w:rPr>
          <w:b/>
        </w:rPr>
        <w:t>E. 3</w:t>
      </w:r>
    </w:p>
    <w:p>
      <w:r>
        <w:t>Dans son écriture, le recourant cite certes des dispositions de la CEDH (art. 9, 12, 13, 24 et 27), mais se limite à les évoquer en bloc, sans les expliciter et à qualifier la décision querellée de " dégueulasse ". Ce faisant, le recourant ne s'en prend pas à la motivation de l'arrêt entrepris et ne soulève précisément aucun grief en relation avec celle-ci. Il s'ensuit que le présent recours, qui ne correspond manifestement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4</w:t>
      </w:r>
    </w:p>
    <w:p>
      <w:r>
        <w:t>Dans les présentes circonstances, il y a lieu de renoncer à percevoir des frais judiciaires (art. 66 al. 1, 2ème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