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5A_264/2023 vom 6. April 2023</w:t>
      </w:r>
    </w:p>
    <w:p>
      <w:r>
        <w:t>Bundesgericht, 2023-04-06, DE</w:t>
      </w:r>
    </w:p>
    <w:p>
      <w:r>
        <w:rPr>
          <w:b/>
        </w:rPr>
        <w:t xml:space="preserve">Quelle: </w:t>
      </w:r>
      <w:r>
        <w:t>https://mcp.opencaselaw.ch/entscheid/bger_5A_264_2023</w:t>
      </w:r>
    </w:p>
    <w:p>
      <w:r>
        <w:t>FR: TF 5A_264/2023 du 6 avril 2023</w:t>
      </w:r>
    </w:p>
    <w:p>
      <w:r>
        <w:t>IT: TF 5A_264/2023 del 6 aprile 2023</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Der Beschwerdeführer macht geltend, er sei unglücklicherweise in Untersuchungshaft und habe die Abschlussverfügung nie erhalten bzw. zufälligerweise erst durch seinen Anwalt bzw. via Staatsanwaltschaft, allerdings erst Anfang Februar 2023, weil die Verfügung plötzlich in den Akten erschienen sei. Er habe dann sofort Beschwerde erhoben.</w:t>
      </w:r>
    </w:p>
    <w:p>
      <w:r>
        <w:rPr>
          <w:b/>
        </w:rPr>
        <w:t>E. 3</w:t>
      </w:r>
    </w:p>
    <w:p>
      <w:r>
        <w:t>Die Ausführungen betreffen den Sachverhalt. Gemäss den Feststellungen im angefochtenen Beschluss wurde dem Beschwerdeführer die Abschlussverfügung am 19. Januar 2023 zugestellt. Inwiefern diese Feststellung willkürlich sein oder andere verfassungsmässige Rechte verletzen soll, tut der Beschwerdeführer nicht dar. Vielmehr behauptet er mit appellatorischen Ausführungen einen anderen Sachverhalt, wobei er nicht genau, sondern nur ungefähr angibt, wann er die Verfügung erhalten haben will.</w:t>
      </w:r>
    </w:p>
    <w:p>
      <w:r>
        <w:t>Zu den rechtlichen Folgen der (willkürfrei festgestellten) verspäteten Eingabe äussert sich der Beschwerdeführer nicht. Eine Rechtsverletzung wäre denn auch nicht ersichtlich.</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