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263/2023 vom 17. April 2023</w:t>
      </w:r>
    </w:p>
    <w:p>
      <w:r>
        <w:t>Bundesgericht, 2023-04-17, DE</w:t>
      </w:r>
    </w:p>
    <w:p>
      <w:r>
        <w:rPr>
          <w:b/>
        </w:rPr>
        <w:t xml:space="preserve">Quelle: </w:t>
      </w:r>
      <w:r>
        <w:t>https://mcp.opencaselaw.ch/entscheid/bger_5A_263_2023</w:t>
      </w:r>
    </w:p>
    <w:p>
      <w:r>
        <w:t>FR: TF 5A 263/2023 du 17 avril 2023</w:t>
      </w:r>
    </w:p>
    <w:p>
      <w:r>
        <w:t>IT: TF 5A 263/2023 del 17 aprile 2023</w:t>
      </w:r>
    </w:p>
    <w:p>
      <w:pPr>
        <w:pStyle w:val="Heading2"/>
      </w:pPr>
      <w:r>
        <w:t>Regeste</w:t>
      </w:r>
    </w:p>
    <w:p>
      <w:r>
        <w:t>Sorgerecht und Obhut | Familienrecht</w:t>
      </w:r>
    </w:p>
    <w:p>
      <w:pPr>
        <w:pStyle w:val="Heading2"/>
      </w:pPr>
      <w:r>
        <w:t>Erwägungen</w:t>
      </w:r>
    </w:p>
    <w:p>
      <w:r>
        <w:rPr>
          <w:b/>
        </w:rPr>
        <w:t>E. 1</w:t>
      </w:r>
    </w:p>
    <w:p>
      <w:r>
        <w:t>Angefochten ist ein kantonal letztinstanzlicher Entscheid betreffend elterliche Sorge und Obhut; die Beschwerde in Zivilsachen steht offen ( Art. 72 Abs. 1, Art. 75 Abs. 1 und Art. 90 BGG ). 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144 V 50 E. 4.2; 145 II 32 E. 2.1). 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2</w:t>
      </w:r>
    </w:p>
    <w:p>
      <w:r>
        <w:t>Im 17-seitigen angefochtenen Entscheid wird der Sachverhalt umfassend dargestellt und die gemeinsame elterliche Sorge und die Obhutszuteilung an den Vater einlässlich begründet. Die Feststellungen gehen dahin, dass die Tochter seit drei Jahren beim Vater lebe, dass nicht ersichtlich sei, inwiefern er sich nicht gut um sie kümmern würde (im Abklärungbericht vom 10. Oktober 2022 sei zwar von Differenzen zwischen den Eltern und einer schwierigen Gestaltung der Besuchsausübung, aber doch regelmässigen Kontakten die Rede, wobei die Absprachen über die Besuche gemäss der Beiständin grösstenteils eingehalten würden), dass die mütterlichen Vorwürfe an den Vater entweder gänzlich unbelegt (angeblicher THC-Konsum, angeblich fehlende stabile Verhältnisse, angeblicher Sozialhilfebezug) oder durch Belege des Vaters widerlegt seien (Arbeitsvertrag, Bestätigung der Tagesstätte für das Kind), dass die Angaben der Mutter über ihre Arbeit und Wohnsituation in Russland unpräzise seien und unklar bleibe, wie die Betreuung der Tochter aussehen würde, sowie ihre Vorstellungen in Bezug auf eine alternierende Obhut nicht umsetzbar seien, dass die Tochter seit August 2022 in U.________ in den Kindergarten gehe und seit drei Jahren die gleiche Kindertagesstätte besuche, dass der Vater zu 60 % arbeite und die Tochter bis auf einen Wochentag ab 13 Uhr jeweils selbst betreue, dass er um deren Wohlbefinden bemüht sei und seinen Alltag so organisiert habe, dass die Tochter klar im Vordergrund stehe, dass diese ein unkompliziertes, gelöstes und interessiertes Kind sei, dass die Mutter nunmehr in der Schweiz ein Zimmer habe und unbezahlt in einem Gestüt arbeite, dass sie wegen ihres 12-jährigen Sohnes aber immer wieder nach Russland müsse, dass sie ihre An- und Abreisen nicht frühzeitig ankündige, dass ihr Diplom als Tierärztin in der Schweiz nicht anerkannt werde; sodann hat das Kantonsgericht beweiswürdigend festgestellt, dass die Mutter zwar angebe, dauerhaft in der Schweiz leben zu wollen, ihre momentane Situation jedoch nicht gerade auf einen definitiven Aufenthalt in der Schweiz hindeute, woran auch ihre Aufenthaltsbewilligung nichts ändere, da sie sich in Russland noch um ihren Sohn kümmern müsse. Die Beschwerdeführerin behauptet eingangs der Beschwerde abstrakt, viele Fakten würden von den Behörden (gemeint ist wohl und relevant wäre jedenfalls: vom Kantonsgericht im angefochtenen Entscheid) willkürlich dargestellt. Die einzige Willkürrüge geht aber dahin, dass ihr der Kanton Zug erst im August 2022 einen Aufenthaltstitel gegeben habe; diese Rüge richtet sich indes an die Migrationsbehörden und ist im vorliegenden Zivilverfahren fehl am Platz. Alle weiteren Ausführungen sind rein appellatorisch und bestehen darin, dass verschiedene Sachverhaltselemente aus eigener Sicht geschildert werden. Dies genügt nicht zur Begründung von Willkürrügen in Bezug auf die Sachverhaltsfeststellung im angefochtenen Entscheid (im Einzelnen wird behauptet: es sei abgemacht gewesen, dass der Vater ihr das Kind an Weihnachten 2019 in V.________ wieder übergebe; sie habe in der Folge stets versucht, ihr Kind zurückzuerhalten und sei immer nur vertröstet worden; es sei ihr anfänglich ein normales Visum verweigert worden, um die Tochter zu besuchen; der Halbbruder habe bislang trotz ihren intensiven Bemühungen kein Besuchsvisum für die Schweiz erhalten; sie könne sich deshalb nicht dauernd in der Schweiz aufhalten und sei gezwungen, wegen ihres Sohnes periodisch nach Russland zurückzukehren, zumal dessen Vater aus Russland habe fliehen müssen und deshalb die ganze Verantwortung bei ihr liege; es sei komplett weltfremd, wenn das Kantonsgericht daraus konstruiere, dass sie sich nicht in der Schweiz niederlassen wolle; der versprochene Russischkurs für die Tochter finde nicht statt und es werde also bewusst versucht, jegliche Bindung an das Heimatland zu verhindern; im Unterschied zu ihr sei der Vater früher fürsorgeabhängig gewesen; er halte Absprachen über Besuchskontakte oft überhaupt nicht ein und gebe keine Informationen über den Impfstatus; die Umstände der Kindesrückbehaltung in der Schweiz seien vom Vater minutiös geplant und von den involvierten Behörden und dem EDA in grotesker Weise unterstützt worden; es bestünden berechtigte Hinweise auf abnormale Handlungen des Vaters; das sonderliche Verhalten des Kinderanwaltes trage nicht zur Entkräftung dieses Verdachtes bei). Ohnehin gehen die meisten der vorstehend aufgelisteten Vorbringen - selbst wenn sie in Form von Willkürrügen erhoben und hinreichend substanziiert worden wären - am für die Frage des Sorgerechts und der Obhutszuteilung zentralen Sachverhaltskern vorbei. Dieser besteht darin, dass C.________ seit fast drei Jahren in der Schweiz beim Vater in stabilen Verhältnissen lebt und dieser im Rahmen der seither bestehenden faktischen Betreuung gut für sie sorgt, während die Lebensumstände für die Tochter in Russland unklar wären und schwerlich zu sehen sei, dass die Mutter dauerhaft in der Schweiz leben würde.</w:t>
      </w:r>
    </w:p>
    <w:p>
      <w:r>
        <w:rPr>
          <w:b/>
        </w:rPr>
        <w:t>E. 3</w:t>
      </w:r>
    </w:p>
    <w:p>
      <w:r>
        <w:t>In rechtlicher Hinsicht wäre darzulegen, inwiefern das Kantonsgericht mit der ausgehend vom Kontinuitäts- und Stabilitätsgedanken getroffenen Sorgerechts-, Obhuts- und Besuchsrechtsregelung das Recht falsch angewandt haben soll. Hierzu sind die nur ansatzweise erfolgenden Ausführungen nicht geeignet: Mit dem Vorbringen, es wirke schon komisch, wenn ihr als bis heute unbestrittenermassen alleiniger Sorgerechtsinhaberin bloss Videoanrufe und begleitete Besuche gewährt würden, verdreht die Mutter, dass sie die Tochter in der Schweiz unbegleitet besuchen kann und die Videoanrufe sich auf die Zeiten beziehen, in denen sie in Russland weilt. Auch mit der allgemeinen Aussage bzw. Kritik, es werde ihr als einzig sorgerechts- und obhutsberechtigter Mutter konsequent eine engere Bindung mit dem Kind verweigert und einer russischen Mutter vor deren Augen widerrechtlich faktisch das Kind weggenommen, ist vor dem Hintergrund der willkürfreien Sachverhaltsfeststellungen (dazu E. 2) keine Rechtsverletzung darzutun, denn es geht nicht um die frühere rechtliche Situation, sondern um die Frage, wie das Eltern-Kind-Verhältnis für die Gegenwart und Zukunft zum besten Wohl des Kindes auszugestalten ist.</w:t>
      </w:r>
    </w:p>
    <w:p>
      <w:r>
        <w:rPr>
          <w:b/>
        </w:rPr>
        <w:t>E. 4</w:t>
      </w:r>
    </w:p>
    <w:p>
      <w:r>
        <w:t>Aufgrund des Gesagten ist die Beschwerde abzuweisen, soweit auf sie einzutreten ist. 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