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5A_263/2019 vom 29. Januar 2020</w:t>
      </w:r>
    </w:p>
    <w:p>
      <w:r>
        <w:t>Bundesgericht, 2020-01-29, FR</w:t>
      </w:r>
    </w:p>
    <w:p>
      <w:r>
        <w:rPr>
          <w:b/>
        </w:rPr>
        <w:t xml:space="preserve">Quelle: </w:t>
      </w:r>
      <w:r>
        <w:t>https://mcp.opencaselaw.ch/entscheid/bger_5A_263_2019</w:t>
      </w:r>
    </w:p>
    <w:p>
      <w:r>
        <w:t>FR: TF 5A_263/2019 du 29 janvier 2020</w:t>
      </w:r>
    </w:p>
    <w:p>
      <w:r>
        <w:t>IT: TF 5A_263/2019 del 29 gennaio 2020</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Le recourant, qui a partiellement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Il ne saurait dès lors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w:t>
      </w:r>
    </w:p>
    <w:p>
      <w:r>
        <w:t>Le recourant fait grief à la Cour de justice d'avoir établi les faits de manière manifestement incomplète et d'avoir retenu, à la suite d'un raisonnement arbitraire quant au revenu hypothétique de l'intimée, que celle-ci ne pourrait travailler qu'à 50% dans la vente.</w:t>
      </w:r>
    </w:p>
    <w:p>
      <w:r>
        <w:rPr>
          <w:b/>
        </w:rPr>
        <w:t>E. 3.1</w:t>
      </w:r>
    </w:p>
    <w:p>
      <w:r>
        <w:t>Lorsqu'il entend tenir compte d'un revenu hypothétique, le juge doit déterminer si l'on peut raisonnablement exiger du conjoint concerné qu'il exerce une activité lucrative ou augmente celle-ci eu égard, notamment, à sa formation, à son âge et à son état de santé; cette question relève du droit. Lorsqu'il tranche celle-ci,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118 consid. 2.3; 128 III 4 consid. 4c/bb; arrêt 5A_466/2019 du 25 septembre 2019 consid. 3.1 et les références; cf. cependant ATF 143 III 233 consid. 3.3).</w:t>
      </w:r>
    </w:p>
    <w:p>
      <w:r>
        <w:rPr>
          <w:b/>
        </w:rPr>
        <w:t>E. 3.2</w:t>
      </w:r>
    </w:p>
    <w:p>
      <w:r>
        <w:t>La Cour de justice a retenu que l'épouse, qui était âgée de 47 ans lors de la séparation des parties et n'avait jamais travaillé durant l'union conjugale, avait pris un emploi à 50% comme aide-soignante après la fin de la vie commune. Elle avait toutefois dû cesser cette activité en raison de problèmes de santé, ce qui était attesté par son médecin. Il ne pouvait ainsi lui être fait de reproche à cet égard. Le dossier ne contenait cependant aucun certificat médical affirmant que l'épouse serait inapte à exercer une activité professionnelle dans un autre domaine qu'aide-soignante. Celle-ci admettait du reste être en mesure de travailler à 50% puisqu'elle s'était inscrite auprès de l'Office cantonal de l'emploi à concurrence de ce taux d'activité. L'évaluation effectuée par un organisme privé quant à la capacité de travail de l'épouse - constatant qu'elle s'était provisoirement éloignée du marché du travail au vu de son manque de pratique des outils informatiques et que des difficultés physiques limitaient ses mouvements, ce qui avait un impact sur sa productivité - ne pouvait être prise en considération dès lors que celle-ci avait été jugée exclusivement sur une activité de bureau, ce qui ne permettait pas de retenir qu'elle ne pût exercer un autre type d'activité. Comme l'intéressée ne pouvait plus compter sur sa réinsertion sur le marché du travail comme aide-soignante, il ne pouvait toutefois être exigé d'elle qu'elle retrouve un emploi en cette qualité. L'épouse avait indiqué avoir une expérience dans le domaine de la vente. Par conséquent, il pouvait être exigé d'elle qu'elle retrouve, dès le 1er juillet 2019, un emploi sans qualification à 50% dans le domaine de la vente de détail, ce qui lui permettrait de réaliser un revenu mensuel brut de l'ordre de 2'000 fr., soit 1'720 fr. net compte tenu de 14% de charges sociales.</w:t>
      </w:r>
    </w:p>
    <w:p>
      <w:r>
        <w:rPr>
          <w:b/>
        </w:rPr>
        <w:t>E. 3.3</w:t>
      </w:r>
    </w:p>
    <w:p>
      <w:r>
        <w:t>Selon le recourant, aucun élément du dossier n'indique que l'intimée ne serait pas apte à travailler à 100% dans une autre profession que celle d'aide-soignante ou d'employée de bureau, par exemple dans la vente. Il reproche dès lors à la Cour de justice d'avoir arrêté la capacité de travail de celle-ci à 50% sur la seule base du taux d'activité pour lequel elle s'était inscrite au chômage et qu'elle avait elle-même déterminé. Or la pièce 81 figurant au dossier, produite en appel par l'intimée et déclarée recevable par l'autorité cantonale pour la période de juin à septembre 2018, démontrerait que l'intéressée avait postulé pour pas moins de cinq postes à 100%, la dernière fois en août 2018 pour un emploi de caissière. Cet élément, qui avait été ignoré par les juges cantonaux alors qu'il était pertinent pour l'appréciation du litige, aurait dû être pris en compte et les conduire à estimer que la capacité de travail de l'intimée était tout au plus limitée dans une activité d'aide-soignante, mais en tout état de cause pleine et entière dans toute autre activité. En ne tenant pas compte, sans raison sérieuse, de cet élément ayant une influence sur le sort de la cause, le raisonnement de la Cour de justice était par conséquent arbitraire.</w:t>
      </w:r>
    </w:p>
    <w:p>
      <w:r>
        <w:rPr>
          <w:b/>
        </w:rPr>
        <w:t>E. 3.4</w:t>
      </w:r>
    </w:p>
    <w:p>
      <w:r>
        <w:t>Cette argumentation ne peut être suivie. Selon les constatations de l'arrêt entrepris, qui ne sont pas contestées, la vie commune des époux a duré seize ans et a eu une influence concrète sur la situation financière de l'épouse, dans la mesure où celle-ci n'a pas travaillé, ou très peu, pendant de nombreuses années pour s'occuper des enfants. Les conjoints vivaient ainsi une répartition classique des rôles, le recourant exerçant un emploi rémunéré et l'intimée étant responsable des travaux domestiques et des soins. De plus, au moment de la séparation, l'épouse était âgée de 47 ans. Sur le vu de ces faits, et bien que celle-ci ait indiqué avoir réussi à gagner 500 fr. ou 600 fr. par mois durant la vie commune en travaillant dans une boutique, il n'est pas possible de parler de formation ni d'expérience professionnelle significative. L'évaluation de son employabilité lors d'un stage de deux semaines dans un bureau a d'ailleurs révélé que son manque de pratique et ses difficultés physiques limitaient sa productivité.</w:t>
      </w:r>
    </w:p>
    <w:p>
      <w:r>
        <w:t>Compte tenu de ces circonstances, l'autorité cantonale ne peut se voir reprocher d'avoir enfreint le large pouvoir d'appréciation qui est le sien en la matière ( art. 4 CC ; ATF 135 III 59 consid. 4.4; 134 III 577 consid. 4; arrêt 5A_637/2018 du 22 mai 2019 consid. 1.5) en considérant qu'il était raisonnable d'exiger de l'épouse qu'elle travaille à 50%. A cet égard, il convient de garder à l'esprit que l'intimée peut s'appuyer, après une vie commune de seize ans, sur le maintien de la répartition antérieure des rôles, librement consentie. Cette confiance ne peut certes pas exclure complètement la possibilité de devoir se réinsérer dans la vie économique. En l'occurrence, la durée relativement longue de l'union conjugale rend néanmoins difficile, en raison du mode de vie du conjoint concerné, la mise en oeuvre effective de la liberté d'action acquise par la dissolution du mariage (arrêt 5A_137/2017 du 27 septembre 2017 consid. 4.4 et les auteurs cités). L'argument que le recourant entend tirer de la pièce 81 produite par l'intimée n'est de surcroît pas décisif: quand bien même celle-ci a postulé pour des emplois à plein temps en juin, juillet et août 2018, ces démarches ne peuvent être utilisées à son détriment, dès lors qu'il en résulte seulement que, comme elle l'a déclaré, elle met tout en oeuvre pour trouver une activité lucrative. A cela s'ajoute que l'épouse avait déjà 47 ans au moment de la séparation ( ATF 137 III 102 consid. 4.2.2.2; arrêts 5A_24/2018 du 21 septembre 2018 consid. 5.1.2; 5A_137/2017 du 29 juin 2017 consid. 4.3; 5A_206/2010 du 21 juin 2010 consid. 5.3.2 et les arrêts cités). Le grief relatif au degré d'activité professionnelle raisonnablement exigible de l'intimée est par conséquent dénué de fondement.</w:t>
      </w:r>
    </w:p>
    <w:p>
      <w:r>
        <w:rPr>
          <w:b/>
        </w:rPr>
        <w:t>E. 4</w:t>
      </w:r>
    </w:p>
    <w:p>
      <w:r>
        <w:t>En conclusion, le recours se révèle mal fondé et ne peut donc être que rejeté, aux frais de son auteur ( art. 66 al. 1 LTF ). Celui-ci versera en outre des dépens à l'intimée ( art. 68 al. 1 et 2 LTF ), dont la requête d'assistance judiciaire devient ainsi sans objet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