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263/2018 vom 29. März 2018</w:t>
      </w:r>
    </w:p>
    <w:p>
      <w:r>
        <w:t>Bundesgericht, 2018-03-29, FR</w:t>
      </w:r>
    </w:p>
    <w:p>
      <w:r>
        <w:rPr>
          <w:b/>
        </w:rPr>
        <w:t xml:space="preserve">Quelle: </w:t>
      </w:r>
      <w:r>
        <w:t>https://mcp.opencaselaw.ch/entscheid/bger_5A_263_2018</w:t>
      </w:r>
    </w:p>
    <w:p>
      <w:r>
        <w:t>FR: TF 5A 263/2018 du 29 mars 2018</w:t>
      </w:r>
    </w:p>
    <w:p>
      <w:r>
        <w:t>IT: TF 5A 263/2018 del 29 marzo 2018</w:t>
      </w:r>
    </w:p>
    <w:p>
      <w:pPr>
        <w:pStyle w:val="Heading2"/>
      </w:pPr>
      <w:r>
        <w:t>Regeste</w:t>
      </w:r>
    </w:p>
    <w:p>
      <w:r>
        <w:t>placement à des fins d'assistance et curatelle | Droit de la famille</w:t>
      </w:r>
    </w:p>
    <w:p>
      <w:pPr>
        <w:pStyle w:val="Heading2"/>
      </w:pPr>
      <w:r>
        <w:t>Erwägungen</w:t>
      </w:r>
    </w:p>
    <w:p>
      <w:r>
        <w:rPr>
          <w:b/>
        </w:rPr>
        <w:t>E. 1</w:t>
      </w:r>
    </w:p>
    <w:p>
      <w:r>
        <w:t>Par arrêt du 26 février 2018, communiqué aux parties le 1er mars 2018, la Chambre des curatelles du Tribunal cantonal du canton de Vaud a partiellement admis, dans la mesure de sa recevabilité, le recours interjeté par A.________, annulé d'office la décision rendue le 9 janvier 2018 par la Justice de paix du district de Nyon ordonnant pour une durée indéterminée le placement à des fins d'assistance de A.________ (I) et instituant une curatelle de représentation et de gestion en faveur de la prénommée (II), confirmé cette ordonnance du 9 janvier 2018, à titre d'ordonnance de mesures provisionnelles, et renvoyé la cause au Juge de paix du district de Nyon pour complément d'instruction et nouvelle décision dans le sens des considérants.</w:t>
      </w:r>
    </w:p>
    <w:p>
      <w:r>
        <w:rPr>
          <w:b/>
        </w:rPr>
        <w:t>E. 2</w:t>
      </w:r>
    </w:p>
    <w:p>
      <w:r>
        <w:t>Par acte remis à la Poste suisse le 19 mars 2018, A.________ exerce, sans l'aide de son avocat ou de son curateur de représentation, un recours en matière civile au Tribunal fédéral. Elle produit néanmoins en annexe de son recours une procuration en faveur de son compagnon, avocat inscrit au Tableau des avocats ressortissants de l'Union européenne du canton de Vaud. Le présent recours s'avère d'emblée irrecevable dans la mesure où la recourante prend des conclusions dont l'objet s'écarte de l'objet du litige tel qu'il est déterminé par l'arrêt déféré ( art. 42 al. 2 LTF ; ATF 142 I 155 consid. 4.4.2 et les arrêts cités); l'acte est en conséquence irrecevable dans la mesure où la recourante s'en prend aux décisions de la Justice de paix et des médecins et dans la mesure où elle requiert une indemnité pour préjudice moral de 300'000 fr. Pour le surplus, en tant que la recourante conteste la décision de renvoi de sa cause en première instance, son recours est dirigé contre une décision incidente au sens de l' art. 93 al. 1 let. a LTF , qui ne porte ni sur la compétence ni sur une demande de récusation (cf. art. 92 LTF ), et qui tombe ainsi sous le coup de l' art. 93 LTF . Le recours immédiat au Tribunal fédéral suppose alternativement la réalisation de la condition de l' art. 93 al. 1 let. a LTF , ou des conditions cumulatives posées à l' art. 93 al. 1 let. b LTF . Les conditions de l' art. 93 al. 1 let. b LTF n'étant en l'espèce manifestement pas remplies, il incombait à la recourante de démontrer que la décision entreprise risquait de lui causer un préjudice irréparable ( art. 93 al. 1 let. a LTF ). Or, dans la mesure où elle a méconnu la nature de la décision entreprise, la recourante ne soutient pas, ni a fortiori ne démontre, que tel serait le cas. En tant que son recours concerne le renvoi en première instance, son recours fondé sur l' art. 93 al. 1 LTF est d'emblée irrecevable. Enfin, en tant que la recourante entend critiquer la confirmation de l'ordonnance du 9 janvier 2018 à titre de mesures provisionnelles, son recours est dirigé contre une décision de mesures provisionnelles au sens de l'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la recourante, qui a semble-t-il méconnu cette cautèle, ne démontre pas avec précision et de manière détaillée quel droit fondamental elle estime avoir été violé et pour quelle raison une telle violation devrait être admise. Sur ce point également, le recours, qui ne satisfait aucunement aux exigences de motivation des art. 42 al. 2 et 106 al. 2 LTF, doit être déclaré irrecevable. En définitive, le recours doit être déclaré irrecevable selon la procédure simplifiée de l' art. 108 al. 1 let. a 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