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263/2013 vom 13. August 2013</w:t>
      </w:r>
    </w:p>
    <w:p>
      <w:r>
        <w:t>Bundesgericht, 2013-08-13, FR</w:t>
      </w:r>
    </w:p>
    <w:p>
      <w:r>
        <w:rPr>
          <w:b/>
        </w:rPr>
        <w:t xml:space="preserve">Quelle: </w:t>
      </w:r>
      <w:r>
        <w:t>https://mcp.opencaselaw.ch/entscheid/bger_5A_263_2013</w:t>
      </w:r>
    </w:p>
    <w:p>
      <w:r>
        <w:t>FR: TF 5A 263/2013 du 13 août 2013</w:t>
      </w:r>
    </w:p>
    <w:p>
      <w:r>
        <w:t>IT: TF 5A 263/2013 del 13 agosto 2013</w:t>
      </w:r>
    </w:p>
    <w:p>
      <w:pPr>
        <w:pStyle w:val="Heading2"/>
      </w:pPr>
      <w:r>
        <w:t>Regeste</w:t>
      </w:r>
    </w:p>
    <w:p>
      <w:r>
        <w:t>mesures provisionnelles (retrait de la garde, placement) | Droit de la famille</w:t>
      </w:r>
    </w:p>
    <w:p>
      <w:pPr>
        <w:pStyle w:val="Heading2"/>
      </w:pPr>
      <w:r>
        <w:t>Erwägungen</w:t>
      </w:r>
    </w:p>
    <w:p>
      <w:r>
        <w:rPr>
          <w:b/>
        </w:rPr>
        <w:t>E. 1.1</w:t>
      </w:r>
    </w:p>
    <w:p>
      <w:r>
        <w:t>Le recours est dirigé contre une décision prise en application de normes de droit public dans une matière connexe au droit civil, à savoir en matière de protection de l'enfant (art. 72 al. 2 let. b ch. 6 LTF). Comme la question soumise au Tribunal fédéral est de nature non pécuniaire, le recours est ouvert indépendamment de la valeur litigieuse (arrêt 5A_763/2011 du 7 mars 2012 consid. 1). Il a par ailleurs été interjeté en temps utile ( art. 100 al. 1 LTF ) par une partie ayant qualité pour recourir ( art. 76 al. 1 LTF ), contre une décision incidente susceptible de causer un préjudice irréparable ( art. 93 al. 1 let. a LTF ), dès lors qu'elle entraîne le placement de l'enfant chez son père pour la durée de la procédure au fond. Même si la mère obtenait finalement gain de cause et que le droit de garde lui soit restitué, le placement ne pourrait plus être modifié pour ce laps de temps (cf. ATF 120 Ia 260 consid. 2b; 5A_835/2008 du 12 février 2009 consid. 2.1). La décision a en outre été prise par un tribunal supérieur statuant en dernière instance cantonale ( art. 75 LTF ). Le recours en matière civile est donc en principe recevable.</w:t>
      </w:r>
    </w:p>
    <w:p>
      <w:r>
        <w:rPr>
          <w:b/>
        </w:rPr>
        <w:t>E. 1.2</w:t>
      </w:r>
    </w:p>
    <w:p>
      <w:r>
        <w:t>Dans le cas d'un recours dirigé, comme en l'espèce, contre une décision portant sur des mesures provisionnelles au sens de l' art. 98 LTF , seule peut être invoquée la violation de droits constitutionnels (cf. ATF 134 I 83 consid. 3.2; 133 III 589 consid. 2). Le Tribunal fédéral n'examine de tels griefs que s'ils ont été invoqués et motivés conformément au principe d'allégation ( art. 106 al. 2 LTF ), à savoir expressément soulevés et exposés de manière claire et détaillée ( ATF 134 I 83 précité; 133 II 249 consid. 1.4.2). Les critiques de nature appellatoire sont irrecevables ( ATF 133 III 589 consid. 2).</w:t>
      </w:r>
    </w:p>
    <w:p>
      <w:r>
        <w:rPr>
          <w:b/>
        </w:rPr>
        <w:t>E. 1.3</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de l'arrêt cantonal que s'il démontre la violation de droits constitutionnels, conformément au principe d'allégation ( ATF 133 II 249 consid. 1.2.2; arrêt 5A_338/2010 du 4 octobre 2010 consid. 3.2); les art. 95, 97 et 105 al. 2 LTF ne s'appliquent pas directement ( ATF 133 III 393 consid. 7.1, 585 consid. 4.1), toutefois, l'application de l' art. 9 Cst. aboutit pratiquement au même résultat: le Tribunal fédéral ne corrige les constatations de fait que si elles sont arbitraires et ont une influence sur le résultat de la décision. Dans la mesure où les parties s'écartent des constatations de fait de la décision entreprise, les complètent ou les modifient, leurs écritures ne sont donc pas recevables.</w:t>
      </w:r>
    </w:p>
    <w:p>
      <w:r>
        <w:rPr>
          <w:b/>
        </w:rPr>
        <w:t>E. 1.4</w:t>
      </w:r>
    </w:p>
    <w:p>
      <w:r>
        <w:t>Les pièces postérieures à l'arrêt entrepris sont irrecevables d'emblée ( art. 99 al. 1 LTF ; ATF 133 IV 342 consid. 2.1; arrêt 5A_640/2011 du 4 janvier 2012 consid. 1.4). Il n'y a donc pas lieu de tenir compte de la pièce 225, datée du 10 avril 2013, dont l'intimé conteste la production par la recourante.</w:t>
      </w:r>
    </w:p>
    <w:p>
      <w:r>
        <w:rPr>
          <w:b/>
        </w:rPr>
        <w:t>E. 2</w:t>
      </w:r>
    </w:p>
    <w:p>
      <w:r>
        <w:t>La recourante se plaint d'une violation de son droit d'être entendue au sens des art. 29 al. 2 Cst. et 6 CEDH, plus précisément de son «droit à la réplique». Elle reproche à la cour cantonale d'avoir violé ce droit à double titre, en se fondant sur un rapport du Service de protection des mineurs (SPMi) et une détermination complémentaire de l'intimé, accompagnée de pièces, sans que ces documents lui soient transmis, la privant ipso facto de la possibilité de se déterminer quant à leur contenu.</w:t>
      </w:r>
    </w:p>
    <w:p>
      <w:r>
        <w:rPr>
          <w:b/>
        </w:rPr>
        <w:t>E. 2.1</w:t>
      </w:r>
    </w:p>
    <w:p>
      <w:r>
        <w:t>Le droit d'être entendu est une garantie constitutionnelle de nature formelle, dont la violation entraîne l'annulation de la décision attaquée sans égard aux chances de succès du recours sur le fond ( ATF 127 V 431 consid. 3d/aa). Ce moyen doit par conséquent être examiné en premier lieu ( ATF 124 I 49 consid. 1) et avec un plein pouvoir d'examen ( ATF 127 III 193 consid. 3 et la jurisprudence citée). 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 ATF 137 I 195 consid. 2.3.1; 135 I 187 consid. 2.2; 133 I 100 consid. 4.5, 270 consid. 3.1; arrêts 1C_196/2011 du 11 juillet 2011 consid. 2.2, publié in SJ 2012 I p. 117; 5A_779/2010 du 1er avril 2011 consid. 2.2, publié in FamPra.ch 2012 n° 1 p. 1).</w:t>
      </w:r>
    </w:p>
    <w:p>
      <w:r>
        <w:rPr>
          <w:b/>
        </w:rPr>
        <w:t>E. 2.2</w:t>
      </w:r>
    </w:p>
    <w:p>
      <w:r>
        <w:t>En l'espèce, la recourante fait valoir que, dans son préavis du 21 mars 2013, parvenu au greffe de la cour cantonale le 25 mars suivant, le SPMi a appuyé la requête de mesures d'urgence de l'intimé du 14 mars 2013, et que, par conclusions également déposées au greffe de la cour cantonale le 25 mars 2013, l'intimé a derechef conclu - motifs, allégués et pièces nouvelles à l'appui - au prononcé de mesures d'urgence, qui ne sont pas identiques à celles figurant dans sa lettre du 14 mars 2013. Or, le préavis et les conclusions précitées lui ont été transmis par la cour cantonale par lettre du 27 mars 2013, reçue le 3 avril 2013, soit postérieurement à la reddition de la décision attaquée, le 2 avril 2013. Il ressort en effet du dossier que ces pièces ont été communiquées à la recourante, «pour information», par lettre du 27 mars 2013. Ni la cour cantonale, ni l'intimé, dans leurs observations, ne contestent que ces pièces aient été reçues par la recourante le 3 avril 2013. Contrairement à ce que soutient l'intimé, il importe peu, selon la jurisprudence du Tribunal fédéral (cf. supra, consid. 2.1), que ces écritures contiennent ou non de nouveaux éléments de fait ou de droit, qu'elles aient été ou non concrètement susceptibles d'influer sur la décision litigieuse, ou encore que la recourante ait pu se déterminer sur le fond le 7 mars 2013 et qu'un délai supplémentaire au 22 avril 2013 lui ait été octroyé pour se déterminer par courrier de la Cour de justice du 11 avril 2013, la décision entreprise, statuant au demeurant sur mesures provisionnelles, ayant été rendue le 2 avril 2013. Cela étant, c'est à bon droit que la recourante reproche à l'autorité cantonale d'avoir violé son droit à la réplique. Le recours devant être admis pour ce motif tiré de la violation d'une garantie constitutionnelle de nature formelle, il n'est pas nécessaire d'examiner les autres griefs soulevés par la recourante.</w:t>
      </w:r>
    </w:p>
    <w:p>
      <w:r>
        <w:rPr>
          <w:b/>
        </w:rPr>
        <w:t>E. 3</w:t>
      </w:r>
    </w:p>
    <w:p>
      <w:r>
        <w:t>La décision attaquée doit par conséquent être annulée et la cause renvoyée à l'autorité précédente pour nouvelle décision prise dans le respect du droit à la réplique défini ci-dessus. Bien qu'il n'ait pas occasionné la décision déférée, l'intimé s'est opposé au recours sur la question du droit d'être entendu. Il doit dès lors être considéré comme la partie qui succombe et supporter ainsi les frais et dépens de la procédure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