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5A_260/2019 vom 5. November 2019</w:t>
      </w:r>
    </w:p>
    <w:p>
      <w:r>
        <w:t>Bundesgericht, 2019-11-05, FR</w:t>
      </w:r>
    </w:p>
    <w:p>
      <w:r>
        <w:rPr>
          <w:b/>
        </w:rPr>
        <w:t xml:space="preserve">Quelle: </w:t>
      </w:r>
      <w:r>
        <w:t>https://mcp.opencaselaw.ch/entscheid/bger_5A_260_2019</w:t>
      </w:r>
    </w:p>
    <w:p>
      <w:r>
        <w:t>FR: TF 5A_260/2019 du 5 novembre 2019</w:t>
      </w:r>
    </w:p>
    <w:p>
      <w:r>
        <w:t>IT: TF 5A_260/2019 del 5 novembre 2019</w:t>
      </w:r>
    </w:p>
    <w:p>
      <w:pPr>
        <w:pStyle w:val="Heading2"/>
      </w:pPr>
      <w:r>
        <w:t>Erwägungen</w:t>
      </w:r>
    </w:p>
    <w:p>
      <w:r>
        <w:rPr>
          <w:b/>
        </w:rPr>
        <w:t>E. 1</w:t>
      </w:r>
    </w:p>
    <w:p>
      <w:r>
        <w:t>Déposé en temps utile ( art. 100 al. 1 LTF ) et dans la forme légale ( art. 42 al. 1 LTF ), le recours est dirigé contre une décision rendue sur recours par une autorité supérieure statuant en dernière instance cantonale ( art. 75 LTF ) dans une affaire de nature civile ( art. 72 al. 1 LTF ; ATF 133 III 393 consid. 2). Le sort des mesures provisionnelles litigieuses étant indépendant de celui de la demande de renseignements de l'époux fondée sur l' art. 170 CC - laquelle ne fait pas l'objet du présent recours -, la décision attaquée est une décision partielle ( art. 91 let. a LTF ). Comme le litige porte sur les droits parentaux et la contribution d'entretien en faveur de l'enfant, l'affaire est de nature non pécuniaire dans son ensemble (arrêts 5A_547/2017 du 26 octobre 2017 consid. 1; 5A_265/2015 du 22 septembre 2015 consid. 1.1). La recourante, qui a succombé devant l'autorité précédente, a qualité pour recourir ( art. 76 al. 1 LTF ). Le recours en matière civile est donc en principe recevable.</w:t>
      </w:r>
    </w:p>
    <w:p>
      <w:r>
        <w:rPr>
          <w:b/>
        </w:rPr>
        <w:t>E. 2.1</w:t>
      </w:r>
    </w:p>
    <w:p>
      <w:r>
        <w:t>Comme la décision attaquée porte sur des mesures provisionnelles au sens de l' art. 98 LTF ( ATF 133 III 393 consid. 5.1),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w:t>
      </w:r>
    </w:p>
    <w:p>
      <w:r>
        <w:t>En particulier, une décision ne peut être qualifiée d'arbitraire (art. 9Cst.)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donc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t>Aux pages 5 à 9 de son écriture, la recourante se borne à exposer sa propre version des faits. En tant que ces éléments divergent de ceux constatés dans l'arrêt querellé et qu'ils ne font pas l'objet d'un grief clair et détaillé d'arbitraire dans l'établissement des faits et l'appréciation des preuves, il n'en sera pas tenu compte.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5A_343/2019 du 4 octobre 2019 consid. 2.3; 5A_904/2015 précité consid. 2.3).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Postérieure à l'arrêt querellé, l'attestation de l'Administration fiscale genevoise du 10 avril 2019 n'est pas recevable dans la présente procédure, étant précisé que la recourante n'explique au demeurant nullement en quoi l'une des exceptions susvisées serait remplie.</w:t>
      </w:r>
    </w:p>
    <w:p>
      <w:r>
        <w:rPr>
          <w:b/>
        </w:rPr>
        <w:t>E. 3</w:t>
      </w:r>
    </w:p>
    <w:p>
      <w:r>
        <w:t>La recourante fait grief à la cour cantonale d'avoir arbitrairement instauré une garde alternée au lieu d'une garde exclusive en sa faveur.</w:t>
      </w:r>
    </w:p>
    <w:p>
      <w:r>
        <w:rPr>
          <w:b/>
        </w:rPr>
        <w:t>E. 3.1</w:t>
      </w:r>
    </w:p>
    <w:p>
      <w:r>
        <w:t>Bien que l'autorité parentale conjointe soit désormais la règle ( art. 296 al. 2 CC ; ATF 142 III 1 consid. 3.3, 56 consid. 3) et qu'elle comprenne le droit de déterminer le lieu de résidence de l'enfant ( art. 301a al. 1 CC ), elle n'implique pas nécessairement l'instauration d'une garde alternée ( ATF 142 III 612 consid. 4.2, 617 consid. 3.2.3; arrêts 5A_406/2018 du 26 juillet 2018 consid. 3.1; 5A_837/2017 du 27 février 2018 consid. 3.2.2 et la référence). Le juge doit néanmoins examiner, nonobstant et indépendamment de l'accord des parents quant à une garde alternée, si celle-ci est possible et compatible avec le bien de l'enfant ( ATF 142 III 612 consid. 4.2, 617 consid. 3.2.3). En matière d'attribution des droits parentaux, le bien de l'enfant constitue la règle fondamentale, les intérêts des parents devant être relégués au second plan ( ATF 142 III 617 consid. 3.2.3 et les références; arrêt 5A_771/2018 du 28 mars 2019 consid. 5.2.2).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arrêt 5A_837/2017 précité consid. 3.2.2).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 ATF 142 III 617 consid. 3.2.3; arrêt 5A_888/2016 du 20 avril 2018 consid. 3.2.1).</w:t>
      </w:r>
    </w:p>
    <w:p>
      <w:r>
        <w:t>Pour apprécier ces critères, le juge du fait, qui connaît le mieux les parties et le milieu dans lequel vit l'enfant, dispose d'un large pouvoir d'appréciation ( ATF 142 III 617 consid. 3.2.5 et les références; arrêts 5A_771/2018 précité consid. 5.2.2; 5A_837/2017 précité consid. 3.2.2 et la référence).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et la référence; arrêt 5A_153/2019 du 3 septembre 2019 consid. 3.3).</w:t>
      </w:r>
    </w:p>
    <w:p>
      <w:r>
        <w:rPr>
          <w:b/>
        </w:rPr>
        <w:t>E. 3.2</w:t>
      </w:r>
    </w:p>
    <w:p>
      <w:r>
        <w:t>En l'espèce, la recourante tente de minimiser les compétences parentales du père et l'implication de celui-ci dans la vie de l'enfant. Elle soutient également que la communication avec l'intimé serait rompue. Ce faisant, elle se contente d'opposer, de manière appellatoire (cf.</w:t>
      </w:r>
    </w:p>
    <w:p>
      <w:r>
        <w:t>supra consid. 2.2), sa propre appréciation à celle de la juridiction précédente, celle-ci ayant estimé que les capacités éducatives des deux parents étaient adéquates et qu'ils étaient capables de collaborer utilement concernant l'enfant. Partant, la critique est irrecevable. Il en va de même lorsque la recourante fait valoir qu'elle serait plus disponible que l'intimé, la cour cantonale ayant retenu que les parents exerçaient tous deux une activité professionnelle en tant qu'indépendants, maîtrisaient leurs horaires et se déclaraient prêts à s'organiser pour encadrer l'enfant.</w:t>
      </w:r>
    </w:p>
    <w:p>
      <w:r>
        <w:t>En revanche, la critique de la recourante selon laquelle l'autorité cantonale aurait instauré une garde alternée sans examiner si l'intimé pourrait avoir un logement convenable et proche géographiquement pour accueillir l'enfant est fondée. En effet, la cour cantonale a estimé que si l'intimé devait quitter le domicile conjugal au 31 mai 2019, rien ne laissait présager, au vu des attaches qu'ils entretenaient avec Genève, que les parents seraient amenés à déménager à une distance qui rendrait impossible l'exercice d'une garde alternée. La juridiction précédente a ainsi instauré une telle garde sur la base d'éléments purement hypothétiques quant au logement futur du père, ce qui apparaît arbitraire. Le recours doit donc être admis sur ce point et la cause renvoyée à la juridiction précédente pour qu'elle réexamine la question de la garde, en procédant au besoin à une nouvelle audition de l'enfant ( art. 298 al. 1 CPC ).</w:t>
      </w:r>
    </w:p>
    <w:p>
      <w:r>
        <w:rPr>
          <w:b/>
        </w:rPr>
        <w:t>E. 4</w:t>
      </w:r>
    </w:p>
    <w:p>
      <w:r>
        <w:t>S'agissant du grief de la recourante relatif à la violation du droit d'être entendu de l'enfant ( art. 29 al. 2 Cst. et 23 al. 2 Cst./GE), celui-ci est sans objet compte tenu des considérations qui précèdent.</w:t>
      </w:r>
    </w:p>
    <w:p>
      <w:r>
        <w:rPr>
          <w:b/>
        </w:rPr>
        <w:t>E. 5</w:t>
      </w:r>
    </w:p>
    <w:p>
      <w:r>
        <w:t>La recourante reproche également à la juridiction précédente de l'avoir arbitrairement condamnée à payer à l'intimé un montant de 300 fr. par mois en faveur de l'enfant. Dès lors que la pension litigieuse - dont le montant correspondant à la moitié du montant de base LP de l'enfant - a été allouée afin que la garde alternée puisse être exercée et que le grief relatif à l'attribution de la garde a été admis (cf.</w:t>
      </w:r>
    </w:p>
    <w:p>
      <w:r>
        <w:t>supra consid. 3.2), il appartiendra à la juridiction précédente de réexaminer, le cas échéant, la question de la pension due en faveur de l'enfant.</w:t>
      </w:r>
    </w:p>
    <w:p>
      <w:r>
        <w:rPr>
          <w:b/>
        </w:rPr>
        <w:t>E. 6</w:t>
      </w:r>
    </w:p>
    <w:p>
      <w:r>
        <w:t>En conclusion, le recours est partiellement admis dans la mesure où il est recevable. La décision attaquée est annulée en tant qu'elle porte sur la garde de l'enfant et la contribution d'entretien en faveur de celui-ci et l'affaire est renvoyée à l'autorité précédente pour nouvelle décision au sens des considérants. Les frais judiciaires sont mis à la charge de l'intimé, qui succombe ( art. 66 al. 1 LTF ). Sa demande d'assistance judiciaire est admise ( art. 64 al. 1 LTF ). Les frais judiciaires lui incombant seront donc provisoirement supportés par la Caisse du Tribunal fédéral ( art. 64 al. 4 LTF ). L'intimé ayant agi sans le concours d'un mandataire professionnel en instance fédérale, il n'y a pas lieu de lui désigner un avocat d'office (cf. art. 64 al. 2 LTF ). L'octroi de l'assistance judiciaire ne dispense pas l'intimé du paiement de dépens en faveur de la recourante ( ATF 122 I 322 consid. 2c; arrêts 5C.5/2005 du 23 juin 2005 consid. 4 non publié in ATF 131 III 542 ; 5A_407/2018 du 11 janvier 2019 consid. 6).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