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5A_260/2018 vom 23. März 2018</w:t>
      </w:r>
    </w:p>
    <w:p>
      <w:r>
        <w:t>Bundesgericht, 2018-03-23, DE</w:t>
      </w:r>
    </w:p>
    <w:p>
      <w:r>
        <w:rPr>
          <w:b/>
        </w:rPr>
        <w:t xml:space="preserve">Quelle: </w:t>
      </w:r>
      <w:r>
        <w:t>https://mcp.opencaselaw.ch/entscheid/bger_5A_260_2018</w:t>
      </w:r>
    </w:p>
    <w:p>
      <w:r>
        <w:t>FR: TF 5A_260/2018 du 23 mars 2018</w:t>
      </w:r>
    </w:p>
    <w:p>
      <w:r>
        <w:t>IT: TF 5A_260/2018 del 23 marzo 2018</w:t>
      </w:r>
    </w:p>
    <w:p>
      <w:pPr>
        <w:pStyle w:val="Heading2"/>
      </w:pPr>
      <w:r>
        <w:t>Erwägungen</w:t>
      </w:r>
    </w:p>
    <w:p>
      <w:r>
        <w:rPr>
          <w:b/>
        </w:rPr>
        <w:t>E. 1</w:t>
      </w:r>
    </w:p>
    <w:p>
      <w:r>
        <w:t>Das Betreibungsamt X.________ pfändete am 3. November 2016 in der Pfändungsgruppe Nr. xxx und am 11. Mai 2017 in der Pfändungsgruppe Nr. yyy unter anderem den Liquidationsanteil des Beschwerdeführers an der unverteilten Erbschaft des I.________ sel. Am 17. Oktober 2017 stellten die Gläubiger das Verwertungsbegehren. Nachdem die Einigungsverhandlung vom 1. Dezember 2017 gescheitert war, ersuchte das Betreibungsamt das Bezirksgericht Willisau, den weiteren Verlauf des Verfahrens zu bestimmen. Mit Entscheid vom 11. Januar 2018 wies das Bezirksgericht das Betreibungsamt an, den gepfändeten Anteil des Beschwerdeführers an der unverteilten Erbschaft auf dem Wege der Auflösung der Erbengemeinschaft und der Liquidation des Gemeinschaftsvermögens zu verwerten.</w:t>
      </w:r>
    </w:p>
    <w:p>
      <w:r>
        <w:t>Dagegen wandte sich der Beschwerdeführer mit Eingabe vom 23. Januar 2018 (Postaufgabe) an das Kantonsgericht Luzern. Mit Urteil vom 20. Februar 2018 trat das Kantonsgericht auf die Beschwerde mangels genügender Begründung nicht ein.</w:t>
      </w:r>
    </w:p>
    <w:p>
      <w:r>
        <w:t>Gegen dieses Urteil ist der Beschwerdeführer mit Eingabe vom 20. März 2018 (Postaufgabe) an das Bundesgericht gelangt.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setzt sich vor Bundesgericht nicht damit auseinander, dass er vor Kantonsgericht seiner Begründungsobliegenheit nicht genügt hat. Dazu genügt insbesondere nicht, dass er die Verwertung als unangemessen bezeichnet. Im Wesentlichen wirft er verschiedenen Personen (insbesondere einem Pächter) vor, dass sie sich mit der Verwertung die zur Erbmasse gehörenden Grundstücke aneignen wollen. Weitere Personen seien gekauft worden oder hätten selber käuflichen Einfluss ausgeübt und auch das Kantonsgericht Luzern habe sich diesbezüglich mit dem Zuger Gericht verbündet. Soweit der Beschwerdeführer bereits vor Kantonsgericht Vorwürfe gegen verschiedene Personen erhoben hat, hat es erwogen, dass diese Kritik keine genügende Auseinandersetzung mit dem bezirksgerichtlichen Entscheid darstelle, weshalb darauf nicht einzutreten sei. Damit setzt sich der Beschwerdeführer nicht auseinander. Sein sinngemässer Vorwurf der Voreingenommenheit an das Kantonsgericht Luzern bleibt völlig unbelegt. Schliesslich ist für das vorliegende Verfahren ohne Belang, dass der Beschwerdeführer im Falle des Unterliegens vor Bundesgericht die Angelegenheit über einen "verbündeten, einflussreichen Politiker und Rechtsanwalt" an die Medien tragen und dabei die Namen von Richterinnen und Richtern nennen will.</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