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5A_25/2018 vom 2. Februar 2018</w:t>
      </w:r>
    </w:p>
    <w:p>
      <w:r>
        <w:t>Bundesgericht, 2018-02-02, FR</w:t>
      </w:r>
    </w:p>
    <w:p>
      <w:r>
        <w:rPr>
          <w:b/>
        </w:rPr>
        <w:t xml:space="preserve">Quelle: </w:t>
      </w:r>
      <w:r>
        <w:t>https://mcp.opencaselaw.ch/entscheid/bger_5A_25_2018</w:t>
      </w:r>
    </w:p>
    <w:p>
      <w:r>
        <w:t>FR: TF 5A_25/2018 du 2 février 2018</w:t>
      </w:r>
    </w:p>
    <w:p>
      <w:r>
        <w:t>IT: TF 5A_25/2018 del 2 febbraio 2018</w:t>
      </w:r>
    </w:p>
    <w:p>
      <w:pPr>
        <w:pStyle w:val="Heading2"/>
      </w:pPr>
      <w:r>
        <w:t>Erwägungen</w:t>
      </w:r>
    </w:p>
    <w:p>
      <w:r>
        <w:rPr>
          <w:b/>
        </w:rPr>
        <w:t>E. 1</w:t>
      </w:r>
    </w:p>
    <w:p>
      <w:r>
        <w:t>Par arrêt du 27 octobre 2017, la Chambre des curatelles du Tribunal cantonal du canton de Vaud a rejeté le recours interjeté le 7 août 2017 par A.________ et confirmé l'ordonnance de mesures provisionnelles rendue le 27 juillet 2017 par la Juge de paix du district de Nyon fixant provisoirement le droit de visite de A.________ sur son fils B.________, invitant les parents à établir un calendrier des visite et ordonnant à A.________ d'initier un suivi thérapeutique.</w:t>
      </w:r>
    </w:p>
    <w:p>
      <w:r>
        <w:rPr>
          <w:b/>
        </w:rPr>
        <w:t>E. 2</w:t>
      </w:r>
    </w:p>
    <w:p>
      <w:r>
        <w:t>Par acte du 8 janvier 2018, A.________ exerce un recours en manière civile au Tribunal fédéral, sollicitant la restitution de l'effet suspensif à son recours et le bénéfice de l'assistance judiciaire pour la procédure fédérale.</w:t>
      </w:r>
    </w:p>
    <w:p>
      <w:r>
        <w:rPr>
          <w:b/>
        </w:rPr>
        <w:t>E. 3</w:t>
      </w:r>
    </w:p>
    <w:p>
      <w:r>
        <w:t>Le recours est dirigé contre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Dans son écriture, le recourant, bien qu'il se réfère à plusieurs articles de la Constitution fédérale et à deux conventions internationales, présente sa propre appréciation, partant, il ne démontre pas avec précision et de manière détaillée quel droit fondamental il estime avoir été violé et pour quelle raison une telle violation devrait être admise. Le recours ne satisfait par conséquent pas aux exigences de motivation des art. 42 al. 2 et 106 al. 2 LTF et doit donc être déclaré irrecevable.</w:t>
      </w:r>
    </w:p>
    <w:p>
      <w:r>
        <w:t>En définitive, le recours doit être déclaré irrecevable selon la procédure simplifiée de l' art. 108 al. 1 let. b LTF , ce qui rend sans objet la requête d'effet suspensif.</w:t>
      </w:r>
    </w:p>
    <w:p>
      <w:r>
        <w:rPr>
          <w:b/>
        </w:rPr>
        <w:t>E. 4</w:t>
      </w:r>
    </w:p>
    <w:p>
      <w:r>
        <w:t>Faute de chances de succès du recours, la requête d'assistance judiciaire pour la procédure fédérale déposée par le recourant ne saurait être agréée ( art. 64 al. 1 LTF ). 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