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5A_259/2013 vom 2. Juli 2013</w:t>
      </w:r>
    </w:p>
    <w:p>
      <w:r>
        <w:t>Bundesgericht, 2013-07-02, FR</w:t>
      </w:r>
    </w:p>
    <w:p>
      <w:r>
        <w:rPr>
          <w:b/>
        </w:rPr>
        <w:t xml:space="preserve">Quelle: </w:t>
      </w:r>
      <w:r>
        <w:t>https://mcp.opencaselaw.ch/entscheid/bger_5A_259_2013</w:t>
      </w:r>
    </w:p>
    <w:p>
      <w:r>
        <w:t>FR: TF 5A_259/2013 du 2 juillet 2013</w:t>
      </w:r>
    </w:p>
    <w:p>
      <w:r>
        <w:t>IT: TF 5A_259/2013 del 2 luglio 2013</w:t>
      </w:r>
    </w:p>
    <w:p>
      <w:pPr>
        <w:pStyle w:val="Heading2"/>
      </w:pPr>
      <w:r>
        <w:t>Erwägungen</w:t>
      </w:r>
    </w:p>
    <w:p>
      <w:r>
        <w:rPr>
          <w:b/>
        </w:rPr>
        <w:t>E. 1.1</w:t>
      </w:r>
    </w:p>
    <w:p>
      <w:r>
        <w:t>L'arrêt entrepris, qui a pour objet la réglementation, sur mesures provisionnelles, du droit de visite du parent non marié qui n'a pas la garde de l'enfant, est une décision prise en application de normes de droit public dans une matière connexe au droit civil (art. 72 al. 2 let. b ch. 6 LTF; arrêt 5A_763/2011 du 7 mars 2012 consid. 1.1). Comme la question soumise au Tribunal fédéral est de nature non pécuniaire, le recours est ouvert indépendamment de la valeur litigieuse (arrêt 5A_763/2011 du 7 mars 2012 consid. 1). Par ailleurs, le recours a été interjeté dans le délai (art. 46 al. 2 et 100 al. 1 LTF) et la forme ( art. 42 LTF ) prévus par la loi, par une partie ayant pris part à la procédure devant l'autorité précédente et justifiant d'un intérêt à la modification ou à l'annulation de la décision attaquée ( art. 76 al. 1 LTF ), contre une décision finale ( art. 90 LTF ) rendue sur recours par une autorité supérieure statuant en dernière instance cantonale ( art. 75 al. 1 et 2 LTF ). Le recours en matière civile est donc en principe recevable.</w:t>
      </w:r>
    </w:p>
    <w:p>
      <w:r>
        <w:rPr>
          <w:b/>
        </w:rPr>
        <w:t>E. 1.2</w:t>
      </w:r>
    </w:p>
    <w:p>
      <w:r>
        <w:t>Dans le cas d'un recours dirigé, comme en l'espèce, contre une décision portant sur des mesures provisionnelles au sens de l' art. 98 LTF , seule peut être invoquée la violation de droits constitutionnels (cf. ATF 134 I 83 consid. 3.2; 133 III 589 consid. 2). Le Tribunal fédéral n'examine de tels griefs que s'ils ont été invoqués et motivés conformément au principe d'allégation ( art. 106 al. 2 LTF ), à savoir expressément soulevés et exposés de manière claire et détaillée ( ATF 134 I 83 précité; 133 II 249 consid. 1.4.2; 133 IV 286 consid. 1.4). Le recourant qui se plaint d'arbitraire ne peut donc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se fonde sur une application de la loi ou une appréciation des preuves manifestement insoutenables ( ATF 134 II 349 consid. 3; 133 II 396 consid. 3.2; arrêt 5A_99/2011 du 22 septembre 2011 consid. 2.1).</w:t>
      </w:r>
    </w:p>
    <w:p>
      <w:r>
        <w:rPr>
          <w:b/>
        </w:rPr>
        <w:t>E. 1.3</w:t>
      </w:r>
    </w:p>
    <w:p>
      <w:r>
        <w:t>Comme l'Autorité de protection de l'enfant et de l'adulte du cercle de Bülach sud n'est pas du tout entrée en matière sur la requête de la mère tendant à une nouvelle réglementation du droit de visite, sa décision, qui n'a pas statué au fond, n'a pas à être prise en considération.</w:t>
      </w:r>
    </w:p>
    <w:p>
      <w:r>
        <w:rPr>
          <w:b/>
        </w:rPr>
        <w:t>E. 2</w:t>
      </w:r>
    </w:p>
    <w:p>
      <w:r>
        <w:t>La recourante expose qu'elle a déménagé à G.________ avec sa fille le 28 novembre 2012. Or la Juge de paix du district de l'Ouest lausannois a statué le 6 février 2013. L' art. 64 CPC étant une lex posterior, et vu l'interprétation qu'en font les commentateurs, le dossier de la cause devrait être transféré aux «autorités tutélaires» zurichoises, les autorités vaudoises n'étant plus compétentes.</w:t>
      </w:r>
    </w:p>
    <w:p>
      <w:r>
        <w:rPr>
          <w:b/>
        </w:rPr>
        <w:t>E. 2.1</w:t>
      </w:r>
    </w:p>
    <w:p>
      <w:r>
        <w:t>Selon l'autorité cantonale, la décision attaquée devant elle a été rendue par la Juge de paix du district de l'Ouest lausannois, qui a fondé sa compétence sur les art. 275 al. 1 CC et 5 de la loi d'application du droit fédéral de la protection de l'adulte et de l'enfant (LVPAE; RSV 211.255) en précisant que la litispendance avait pour effet de fixer la compétence locale du tribunal saisi, si les conditions de la compétence étaient réunies au moment de l'introduction de la cause ( art. 64 al. 1 let. b CPC ). Toujours selon les juges précédents, la mère conteste la compétence de la magistrate précitée. Se référant à la doctrine ( BOHNET, CPC commenté, 2011, n. 6 art. 64 CPC ), elle estime que l' art. 64 CPC ne s'applique pas aux procédures concernant les enfants. Or, la référence citée ne concerne que les conflits en matière internationale et non intercantonale. Contrairement à ce que la recourante soutient, l' art. 64 CPC ne permet ainsi pas de fonder la compétence du juge du nouveau domicile de l'enfant lors d'un déménagement en Suisse, l'autorité du domicile de l'enfant saisie lors de la litispendance restant compétente même en cas de déménagement de l'enfant et ce jusqu'à ce que la procédure soit close. Comme la fillette était domiciliée à F.________, chez sa mère, seule détentrice de l'autorité parentale, au moment de l'ouverture de la procédure en fixation du droit aux personnelles, la Juge de paix du district de l'Ouest lausannois était donc compétente pour rendre la décision entreprise.</w:t>
      </w:r>
    </w:p>
    <w:p>
      <w:r>
        <w:rPr>
          <w:b/>
        </w:rPr>
        <w:t>E. 2.2</w:t>
      </w:r>
    </w:p>
    <w:p>
      <w:r>
        <w:t>La recourante - qui ne soulève aucun grief relevant des droits fondamentaux (cf. ATF 134 II 349 consid. 3; 133 III 393 consid. 6 et les références) - se contente d'alléguer, d'une part, que l' art. 64 CPC ne s'applique pas aux procédures concernant les enfants et, d'autre part, que le principe de l'économie de procédure permet de fonder la compétence du juge (sic) du lieu de situation de l'enfant, en l'espèce le nouveau domicile. La recevabilité de son recours est par conséquent d'emblée douteuse ( art. 106 al. 2 LTF ).</w:t>
      </w:r>
    </w:p>
    <w:p>
      <w:r>
        <w:t>De toute manière, pour qu'une décision soit taxée d'arbitraire, il ne suffit pas qu'elle soit discutable ou même critiquable; encore faut-il qu'elle soit manifestement insoutenable non seulement dans ses motifs, mais aussi dans son résultat (sur la notion d'arbitraire: ATF 138 III 378 consid. 6.1; 137 I 1 consid. 2.4; 136 III 552 consid. 4.2). En l'espèce, la recourante ne démontre pas que tel serait le cas. Selon l' art. 275 al. 1 CC (à lire en relation avec les art. 315 ss CC ; MEIER, Commentaire romand, 2010, n. 1 ad art. 315/315a/315b CC; SUTTER-SOMM/KOBEL, Familienrecht, 2009, n. 868), l'autorité de protection de l'enfant du domicile de l'enfant est compétente pour prendre les mesures nécessaires concernant les relations personnelles; pour des motifs d'économie de procédure, l'autorité du lieu de séjour de l'enfant est également compétente si elle a pris ou est sur le point de prendre des mesures de protection en faveur de celui-ci (cf. notamment: MEIER, op. cit., n. 3 et n. 7 ad art. 275 CC ). D'après la jurisprudence et la doctrine, le domicile de l'enfant (fixé selon l' art. 25 CC ) au moment de l'introduction de la procédure est déterminant pour établir la compétence de l'autorité de protection à raison du lieu en vue de la réglementation du droit de visite; cette compétence subsiste, même si l'enfant change de domicile, jusqu'à la fin de la procédure ( ATF 101 II 11 ss; RDT 1997 p. 103 ss, 106; BREITSCHMID, Commentaire bâlois, 4ème éd., 2010, n. 18 ad art. 315-315b CC ; MEIER, op. cit., n. 5 ad art. 315/315a/315b CC et les références; BÜCHLER/WIRZ, FamKommentar Scheidung, vol. I: ZGB, 2ème éd., 2009, n. 5 ad art. 275 CC ; COTTIER, Kurzkommentar ZGB, 2012, n. 10 ad art. 315-315b; cf. aussi les recommandations de la Conférence des autorités cantonales de tutelles de septembre 2002, RDT 2002, p. 208). Or, le commentateur cité par la recourante (Bohnet, op. cit., n. 6 ad 64 CPC) en relation avec l' art. 64 CPC - pour autant que cette disposition soit applicable ici (cf. Meier, op. cit., n. 3 ad art. 315/315a/315b CC) - n'examine la question du for que dans un contexte international (également: ATF 132 III 586 consid. 2.3.1; 123 III 411 consid. 2a). Quant à la compétence de l'autorité du lieu de séjour de l'enfant pour régler les relations personnelles (art. 275 al. 1 in fine CC), également invoquée par la recourante, elle concerne les cas où ladite autorité a pris ou se prépare à prendre des mesures de protection en faveur de l'enfant ( art. 307 ss CC ), compte tenu des compétences extraordinaires qui lui sont réservées par l' art. 315 al. 2 CC (à ce sujet, cf. notamment: Meier, op. cit., n. 7 ss ad art. 315/315a/315b CC). Tel n'est pas le cas ici, en sorte le moyen tombe à faux.</w:t>
      </w:r>
    </w:p>
    <w:p>
      <w:r>
        <w:rPr>
          <w:b/>
        </w:rPr>
        <w:t>E. 3</w:t>
      </w:r>
    </w:p>
    <w:p>
      <w:r>
        <w:t>En conclusion, le recours apparaît mal fondé et ne peut donc être que rejeté, en tant qu'il est recevable. La recourante supportera par conséquent les frais judiciaires.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