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5A_258/2022 vom 12. April 2022</w:t>
      </w:r>
    </w:p>
    <w:p>
      <w:r>
        <w:t>Bundesgericht, 2022-04-12, DE</w:t>
      </w:r>
    </w:p>
    <w:p>
      <w:r>
        <w:rPr>
          <w:b/>
        </w:rPr>
        <w:t xml:space="preserve">Quelle: </w:t>
      </w:r>
      <w:r>
        <w:t>https://mcp.opencaselaw.ch/entscheid/bger_5A_258_2022</w:t>
      </w:r>
    </w:p>
    <w:p>
      <w:r>
        <w:t>FR: TF 5A_258/2022 du 12 avril 2022</w:t>
      </w:r>
    </w:p>
    <w:p>
      <w:r>
        <w:t>IT: TF 5A_258/2022 del 12 aprile 2022</w:t>
      </w:r>
    </w:p>
    <w:p>
      <w:pPr>
        <w:pStyle w:val="Heading2"/>
      </w:pPr>
      <w:r>
        <w:t>Erwägungen</w:t>
      </w:r>
    </w:p>
    <w:p>
      <w:r>
        <w:rPr>
          <w:b/>
        </w:rPr>
        <w:t>E. 1</w:t>
      </w:r>
    </w:p>
    <w:p>
      <w:r>
        <w:t>Weil der Streitwert weniger als Fr. 30'000.-- beträgt, ist die Beschwerde in Zivilsachen nicht gegeben ( Art. 74 Abs. 1 lit. b BGG ), sondern die subsidiäre Verfassungsbeschwerde ( Art. 113 BGG ). Mit ihr kann einzig die Verletzung verfassungsmässiger Rechte gerügt werden ( Art. 116 BGG ), wofür das strenge Rügeprinzip gilt (Art. 106 Abs. 2 i.V.m. Art. 117 BGG ).</w:t>
      </w:r>
    </w:p>
    <w:p>
      <w:r>
        <w:rPr>
          <w:b/>
        </w:rPr>
        <w:t>E. 2</w:t>
      </w:r>
    </w:p>
    <w:p>
      <w:r>
        <w:t>Der Beschwerdeführer betont, dass er seine Eingabe "als Privat Person Christliche Glaube" und "stolz als Schweizer Bürger" einreiche. Im Folgenden äussert sich unter Beilage zahlreicher Dokumente zu der in seinen Augen "gefälschten Heirat", zu angeblichen Diebstählen und Lügen sowie zu "Meine Name Nutzer", womit er sinngemäss beanstandet, dass die frühere Ehefrau immer noch seinen Namen trage. Es werden keine verfassungsmässigen Rechte genannt oder irgendwelche Verfassungsrügen substanziiert und es erfolgt auch keinerlei Bezugnahme auf den kantonsgerichtlichen Nichteintretensentscheid, welcher vorliegend das Anfechtungsobjekt bildet.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