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5A_258/2021 vom 21. Mai 2021</w:t>
      </w:r>
    </w:p>
    <w:p>
      <w:r>
        <w:t>Bundesgericht, 2021-05-21, IT</w:t>
      </w:r>
    </w:p>
    <w:p>
      <w:r>
        <w:rPr>
          <w:b/>
        </w:rPr>
        <w:t xml:space="preserve">Quelle: </w:t>
      </w:r>
      <w:r>
        <w:t>https://mcp.opencaselaw.ch/entscheid/bger_5A_258_2021</w:t>
      </w:r>
    </w:p>
    <w:p>
      <w:r>
        <w:t>FR: TF 5A_258/2021 du 21 mai 2021</w:t>
      </w:r>
    </w:p>
    <w:p>
      <w:r>
        <w:t>IT: TF 5A_258/2021 del 21 maggio 2021</w:t>
      </w:r>
    </w:p>
    <w:p>
      <w:pPr>
        <w:pStyle w:val="Heading2"/>
      </w:pPr>
      <w:r>
        <w:t>Erwägungen</w:t>
      </w:r>
    </w:p>
    <w:p>
      <w:r>
        <w:rPr>
          <w:b/>
        </w:rPr>
        <w:t>E. 1</w:t>
      </w:r>
    </w:p>
    <w:p>
      <w:r>
        <w:t>Mediante sentenza 25 febbraio 2021 il Presidente della Camera di protezione del Tribunale d'appello del Cantone Ticino ha dichiarato irricevibile un reclamo inoltrato in data 25 gennaio 2021 dai coniugi B.________ e A.________ (ponendo le spese di fr. 400.-- a carico di quest'ultima), rivolto segnatamente contro una decisione 18 gennaio 2021 con la quale l'Autorità regionale di protezione 4 sede di Paradiso aveva dichiarato inammissibile la richiesta di ricusa dell'Autorità regionale di protezione 9 sede di Torricella-Taverne. Il Presidente della Camera di protezione (dopo aver respinto la richiesta di astensione rivolta nei suoi confronti) ha in particolare osservato che, per quanto riguarda B.________, il reclamo risultava irricevibile per difetto della sua capacità processuale (dato che il suo curatore di rappresentanza, avv. Pascal Cattaneo, aveva dichiarato di non ratificarlo) e, per quanto concerne A.________, esso risultava irricevibile in quanto l'Autorità regionale di protezione 4 sede di Paradiso " non poteva che dichiarare irricevibile la richiesta e il sollecito di evasione di un'istanza di ricusa già da tempo evasa e cresciuta in giudicato ".</w:t>
      </w:r>
    </w:p>
    <w:p>
      <w:r>
        <w:rPr>
          <w:b/>
        </w:rPr>
        <w:t>E. 2</w:t>
      </w:r>
    </w:p>
    <w:p>
      <w:r>
        <w:t>Con ricorso 3 aprile 2021 A.________ è insorta dinanzi al Tribunale federale contro la sentenza cantonale, chiedendo di annullare tale sentenza (comprese le spese poste a suo carico) e "tutte le risoluzioni emesse dall'Autorità regionale di protezione 9". Ella ha anche chiesto di conoscere in via anticipata l'ammontare delle spese giudiziarie e la composizione della Corte giudicante e (implicitamente) di essere posta al beneficio dell'assistenza giudiziaria, nonché invitato i Giudici federali Herrmann (Presidente) e von Werdt e la Cancelliera Antonini ad astenersi dal giudizio per avere già partecipato a decisioni precedenti.</w:t>
      </w:r>
    </w:p>
    <w:p>
      <w:r>
        <w:t>Le sue ulteriori conclusioni (volte per esempio alla sospensione o all'annullamento delle misure di protezione adottate nei confronti del marito,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w:t>
      </w:r>
    </w:p>
    <w:p>
      <w:r>
        <w:t>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4.1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confusa e prolissa impugnativa all'esame, la ricorrente si limita a genericamente formulare critiche di merito (inammissibili, alla luce del giudizio di irricevibilità pronunciato dall'autorità inferiore; v. DTF 144 II 184 consid. 1.1) e a genericamente rimproverare all'autorità precedente svariate inadeguatezze procedurali o inesattezze nell'accertamento dei fatti. Omettendo di confrontarsi con l'argomentazione posta a fondamento della sentenza di ultima istanza cantonale, ella non spiega perché il suo reclamo avrebbe dovuto essere considerato ricevibile. Il ricorso non soddisfa pertanto le esigenze di motivazione degli art. 42 cpv. 2 e 106 cpv. 2 LTF.</w:t>
      </w:r>
    </w:p>
    <w:p>
      <w:r>
        <w:rPr>
          <w:b/>
        </w:rPr>
        <w:t>E. 4.2</w:t>
      </w:r>
    </w:p>
    <w:p>
      <w:r>
        <w:t>Il gravame risulta peraltro di primo acchito irricevibile (v. art. 75 cpv. 1 LTF ) nella misura in cui la ricorrente nemmeno critica la sentenza di ultima istanza cantonale, bensì discute la decisione dell'Autorità regionale di protezione 4 sede di Paradiso o questioni del tutto estranee alla presente vertenza (come l'operato dei curatori del marito o di altre autorità in cause distinte).</w:t>
      </w:r>
    </w:p>
    <w:p>
      <w:r>
        <w:rPr>
          <w:b/>
        </w:rPr>
        <w:t>E. 5</w:t>
      </w:r>
    </w:p>
    <w:p>
      <w:r>
        <w:t>Da quanto precede discende che il ricorso, manifestamente inammissibile e manifestamente non motivato in modo sufficiente, può essere deciso nella procedura semplificata dell' art. 108 cpv. 1 lett. a-b LTF .</w:t>
      </w:r>
    </w:p>
    <w:p>
      <w:r>
        <w:t>Nel caso concreto si può eccezionalmente rinunciare al prelievo di spese giudiziarie (art. 66 cpv. 1 seconda frase LTF). Ciò rende priva di oggetto la (implicita) domanda di assistenza giudiziaria.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