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258/2020 vom 8. April 2020</w:t>
      </w:r>
    </w:p>
    <w:p>
      <w:r>
        <w:t>Bundesgericht, 2020-04-08, DE</w:t>
      </w:r>
    </w:p>
    <w:p>
      <w:r>
        <w:rPr>
          <w:b/>
        </w:rPr>
        <w:t xml:space="preserve">Quelle: </w:t>
      </w:r>
      <w:r>
        <w:t>https://mcp.opencaselaw.ch/entscheid/bger_5A_258_2020</w:t>
      </w:r>
    </w:p>
    <w:p>
      <w:r>
        <w:t>FR: TF 5A 258/2020 du 8 avril 2020</w:t>
      </w:r>
    </w:p>
    <w:p>
      <w:r>
        <w:t>IT: TF 5A 258/2020 del 8 aprile 2020</w:t>
      </w:r>
    </w:p>
    <w:p>
      <w:pPr>
        <w:pStyle w:val="Heading2"/>
      </w:pPr>
      <w:r>
        <w:t>Regeste</w:t>
      </w:r>
    </w:p>
    <w:p>
      <w:r>
        <w:t>Unterhalt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42 Abs. 1 BGG hat die Beschwerde ein Rechtsbegehren zu enthalten. Weil die Beschwerde in Zivilsachen ein reformatorisches Rechtsmittel ist ( Art. 107 Abs. 1 BGG ), muss ein konkretes Rechtsbegehren in der Sache gestellt werden ( BGE 133 III 489 E. 3.1 S. 490; 137 II 313 E. 1.3 S. 317). Sodann sind auf Geldleistung gerichtete Rechtsbegehren auch im bundesgerichtlichen Verfahren genau zu beziffern ( BGE 134 III 235 E. 2 S. 237; 143 III 111 E. 1.2 S. 112). Dies gilt ebenfalls im Zusammenhang mit Unterhaltsbegehren; deshalb sind insbesondere auch Anträge auf Festlegung der üblichen, angemessenen oder gesetzlichen Leistungen ungenügend ( BGE 79 II 253 E. 1 S. 255; Urteile 5A_256/2007 vom 20. Juli 2007 E. 1; 5A_669/2007 vom 4. August 2008 E. 1.2.1; 5A_273/2012 vom 10. Mai 2012 E. 1; 5A_574/2014 vom 15. Januar 2015 E. 7.2; 5A_986/2017 vom 14. Dezember 2017 E. 3; 5A_1033/2018 vom 9. Januar 2019 E. 1). Analoges gilt übrigens für das Berufungsverfahren ( Art. 311 Abs. 1 ZPO ; BGE 137 III 617 E. 4.3 S. 619).</w:t>
      </w:r>
    </w:p>
    <w:p>
      <w:r>
        <w:rPr>
          <w:b/>
        </w:rPr>
        <w:t>E. 2</w:t>
      </w:r>
    </w:p>
    <w:p>
      <w:r>
        <w:t>Ein Begehren auf "Gutheissung der Berufung" stellt von vornherein kein reformatorisches Sachbegehren dar, wie Art. 42 Abs. 1 BGG dies erforderlich macht, denn es könnte so nicht ins Dispositiv überführt werden; schon daran scheitert die Beschwerde. Im Übrigen bleibt das Begehren unbeziffert, so dass die Beschwerde auch daran scheitert.</w:t>
      </w:r>
    </w:p>
    <w:p>
      <w:r>
        <w:rPr>
          <w:b/>
        </w:rPr>
        <w:t>E. 3</w:t>
      </w:r>
    </w:p>
    <w:p>
      <w:r>
        <w:t>Mangels eines tauglichen Rechtsbegehrens erweist sich die Beschwerde als offensichtlich unzulässig,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Mit dem sofortigen Entscheid in der Sache wird das Gesuch um aufschiebende Wirkung gegenstandslos.</w:t>
      </w:r>
    </w:p>
    <w:p>
      <w:r>
        <w:rPr>
          <w:b/>
        </w:rPr>
        <w:t>E. 5</w:t>
      </w:r>
    </w:p>
    <w:p>
      <w:r>
        <w:t>Wie die vorstehenden Erwägungen zeigen, konnte der Beschwerde von Anfang an kein Erfolg beschieden sein, weshalb es an den materiellen Voraussetzungen der unentgeltlichen Rechtspflege fehlt ( Art. 64 Abs. 1 BGG ) und das entsprechende Gesuch abzuweisen ist.</w:t>
      </w:r>
    </w:p>
    <w:p>
      <w:r>
        <w:rPr>
          <w:b/>
        </w:rPr>
        <w:t>E. 6</w:t>
      </w:r>
    </w:p>
    <w:p>
      <w:r>
        <w:t>Angesichts der konkreten Umstände wird jedoch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