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258/2015 vom 30. Juli 2015</w:t>
      </w:r>
    </w:p>
    <w:p>
      <w:r>
        <w:t>Bundesgericht, 2015-07-30, FR</w:t>
      </w:r>
    </w:p>
    <w:p>
      <w:r>
        <w:rPr>
          <w:b/>
        </w:rPr>
        <w:t xml:space="preserve">Quelle: </w:t>
      </w:r>
      <w:r>
        <w:t>https://mcp.opencaselaw.ch/entscheid/bger_5A_258_2015</w:t>
      </w:r>
    </w:p>
    <w:p>
      <w:r>
        <w:t>FR: TF 5A 258/2015 du 30 juillet 2015</w:t>
      </w:r>
    </w:p>
    <w:p>
      <w:r>
        <w:t>IT: TF 5A 258/2015 del 30 luglio 2015</w:t>
      </w:r>
    </w:p>
    <w:p>
      <w:pPr>
        <w:pStyle w:val="Heading2"/>
      </w:pPr>
      <w:r>
        <w:t>Regeste</w:t>
      </w:r>
    </w:p>
    <w:p>
      <w:r>
        <w:t>mesures provisionnelles (action en partage etc.) | Droit des successions</w:t>
      </w:r>
    </w:p>
    <w:p>
      <w:pPr>
        <w:pStyle w:val="Heading2"/>
      </w:pPr>
      <w:r>
        <w:t>Erwägungen</w:t>
      </w:r>
    </w:p>
    <w:p>
      <w:r>
        <w:rPr>
          <w:b/>
        </w:rPr>
        <w:t>E. 1.1</w:t>
      </w:r>
    </w:p>
    <w:p>
      <w:r>
        <w:t>L'arrêt déféré ordonne des mesures provisionnelles en relation avec une procédure principale; il s'agit d'une décision incidente ( ATF 134 I 83 consid. 3.1) susceptible, à certaines conditions, de recours immédiat ( art. 93 LTF ). La voie de recours est la même que celle ouverte contre la cause au fond ( ATF 133 III 645 consid. 2.2 et 2.3).</w:t>
      </w:r>
    </w:p>
    <w:p>
      <w:r>
        <w:rPr>
          <w:b/>
        </w:rPr>
        <w:t>E. 1.2</w:t>
      </w:r>
    </w:p>
    <w:p>
      <w:r>
        <w:t>La cause au fond se rapporte à une procédure successorale ( art. 72 al. 1 LTF ), dont la valeur litigieuse est supérieure à 30'000 fr. ( art. 74 al. 1 let. b LTF ). Le recours a en outre été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sur recours par un tribunal supérieur statuant en dernière instance cantonale ( art. 75 al. 1 et 2 LTF ). Le recours en matière civile est donc en principe recevable.</w:t>
      </w:r>
    </w:p>
    <w:p>
      <w:r>
        <w:rPr>
          <w:b/>
        </w:rPr>
        <w:t>E. 2.1</w:t>
      </w:r>
    </w:p>
    <w:p>
      <w:r>
        <w:t>En vertu de l' art. 93 al. 1 let. a LTF - l'hypothèse visée par la let. b étant exclue d'emblée -, une décision incidente notifiée séparément est susceptible d'un recours en matière civile si elle est propre à causer un préjudice irréparable, à savoir un dommage de nature juridique qui ne peut pas être réparé ultérieurement par une décision finale favorable à la partie recourante ( ATF 141 III 80 consid. 1.2 et les citations). Un inconvénient seulement matériel est insuffisant ( ATF 138 III 190 consid. 6, 333 consid. 1.3.1 et les références). Il appartient à la partie recourante d'alléguer et de démontrer dans quelle mesure elle est concrètement menacée d'un préjudice irréparable de nature juridique ( ATF 137 III 324 consid. 1.1), à moins que - ce qui n'est pas le cas ici - celui-ci ne fasse d'emblée aucun doute ( ATF 137 III 552 consid. 1.3; 133 III 629 consid. 2.3.1).</w:t>
      </w:r>
    </w:p>
    <w:p>
      <w:r>
        <w:rPr>
          <w:b/>
        </w:rPr>
        <w:t>E. 2.2</w:t>
      </w:r>
    </w:p>
    <w:p>
      <w:r>
        <w:t>La juridiction précédente a considéré qu'il y avait lieu de distinguer les actions faisant partie de la succession de la mère des parties - soit les actions nos ccc à ddd de chacune des deux sociétés immobilières - de celles ayant fait l'objet de la donation entre l'appelante et son père - à savoir les actions nos aaa à bbb de chaque société. Elle a d'abord retenu que l'intimé avait rendu vraisemblable que les actions nos ccc à ddd de chacune des sociétés étaient encore en indivision. Or, l'appelante se comportait d'ores et déjà comme l'unique propriétaire de la moitié de ces actions - puisqu'elle s'était faite inscrire comme telle lors des assemblées générales -, actions qui appartenaient en réalité à la succession. C'était dès lors à juste titre que le Tribunal avait fait interdiction à l'intéressée, et à toute autre personne détenant ces titres, de les vendre. L'intimé avait également rendu vraisemblable que les assemblées générales des deux sociétés avaient décidé de distribuer des dividendes aux héritiers, alors qu'ils revenaient à la succession tant que le partage n'avait pas eu lieu. C'était donc également avec raison que le premier juge avait bloqué le versement de la part du dividende revenant à ces actions. En revanche, l'appelante était vraisemblablement la seule propriétaire des actions nos aaa à bbb des deux sociétés immobilières, en sorte que, dans le cadre des mesures provisionnelles, il ne lui serait pas fait interdiction d'en disposer, étant relevé que l'intimé n'avait pas allégué, ni même rendu vraisemblable, que sa soeur eût l'intention de vendre ces actions à un tiers. De même, rien ne justifiait d'interdire à l'intéressée de percevoir le dividende relatif à ces actions. Toutefois, de par sa fonction d'administratrice dans les sociétés, l'appelante avait pris des décisions tendant à empêcher l'intimé d'user d'une partie des biens de la succession encore en indivision. Or, tant que le partage n'avait pas eu lieu, chaque partie devait pouvoir bénéficier des biens de la succession sans porter préjudice à l'autre. Comme l'appelante n'était propriétaire que de la moitié du capital-actions, il y avait lieu de limiter ses droits d'actionnaire afin de garantir le droit d'usage de son frère sur la partie non partagée de la succession. Les juges précédents ont ainsi confirmé l'ordonnance de première instance en tant qu'elle limitait les droits d'actionnaire de l'appelante dans les deux sociétés aux seuls actes de gestion et de disposition ne touchant pas, directement ou indirectement, les droits de l'intimé (ch. 3 du dispositif).</w:t>
      </w:r>
    </w:p>
    <w:p>
      <w:r>
        <w:rPr>
          <w:b/>
        </w:rPr>
        <w:t>E. 2.3</w:t>
      </w:r>
    </w:p>
    <w:p>
      <w:r>
        <w:t>La recourante - qui ne remet en cause que le chiffre 3 susmentionné - prétend que l'arrêt attaqué lui cause un préjudice juridique irréparable en tant qu'il limite ses droits d'actionnaire rattachés aux actions nos aaa à bbb de chaque société immobilière, tout en considérant comme vraisemblable sa propriété exclusive sur ces actions. Elle expose qu'elle verra les droits en question limités lors de chaque assemblée générale tant que les mesures provisionnelles déploieront leurs effets, soit jusqu'à droit jugé dans l'action en partage introduite par l'intimé. Or, non seulement les décisions prises par les assemblées générales convoquées durant cette période ne pourront jamais être modifiées compte tenu du délai de péremption de l' art. 706a al. 1 CO , mais elle ne pourrait de surcroît pas les attaquer juridiquement en invoquant un quelconque vice découlant de la limitation de ses droits d'actionnaire, dès lors que cette limitation perdurera tant que les mesures provisionnelles déploieront leurs effets. Une telle motivation ne permet pas de tenir pour établie l'existence d'un préjudice juridique irréparable, dès lors notamment que la recourante ne précise pas quels droits liés à sa qualité d'actionnaire elle serait empêchée d'exercer, ni en quoi cette limitation serait propre à lui causer un dommage. A cet égard, il y a lieu de rappeler que les droits de l'actionnaire sont tant patrimoniaux (tels que le droit au dividende, le droit aux intérêts intercalaires, le droit à une part de liquidation) que sociaux (en particulier le droit de vote, le droit de demander des informations, le droit de contrôle, le droit de formuler des propositions, le droit d'attaquer les décisions de l'assemblée générale). En dehors de l'exercice de ses droits sociaux, l'actionnaire n'a pas à intervenir dans la gestion de la société (notamment: ATF 83 II 297 consid. 4; CARLO LOMBARDINI, in Commentaire romand, CO II, 2008, no 18 ad art. 620 CO ; PASCAL MONTAVON, Droit suisse de la SA, 3e éd., 2004, §§ 41 et 42 p. 709 ss; plus en détail sur les droits de l'actionnaire: PETER BÖCKLI, Schweizer Aktienrecht, 4e éd., 2009, § 1 nos 123 ss). De plus, la société anonyme est régie non seulement par la loi mais aussi par ses statuts, lesquels peuvent être complétés par des règlements, statuts qui contiennent aussi bien les règles d'organisation de la société qu'une description des droits (et obligations) des actionnaires ( FORSTMOSER/MEIER-HAYOZ/NOBEL, Schweizerisches Aktienrecht, 1996, § 7 n° 6; LOMBARDINI, op. cit., n° 5 ad art. 626 CO ; MONTAVON, op. cit., § 2 p. 9; SCHENKER, in Basler Kommentar, OR II, 4e éd., 2012, no 1 ad art. 626 CO ). Or, l'arrêt attaqué ne contient aucune constatation qui permettrait de déterminer quels droits sont en l'occurrence concernés, sans que la recourante ne se plaigne d'un état de fait arbitrairement lacunaire ( art. 106 al. 2 LTF ). En outre, et surtout, elle se borne à soutenir, de manière générale, que ses "droits d'actionnaire" seront limités lors de chaque assemblée générale, sans toutefois préciser lesquels ( art. 106 al. 2 LTF , en relation avec l' art. 98 LTF ). Par cette argumentation, elle ne démontre donc pas quel dommage elle risquerait de subir concrètement. Il convient en effet de relever que l'arrêt querellé ne lui interdit pas de disposer des titres dont elle est vraisemblablement propriétaire, ni d'en percevoir le dividende. Il ne restreint en outre l'exercice de ses droits que dans la mesure où il en résulterait l'impossibilité pour son frère de faire usage des biens de la succession encore en indivision, en sorte qu'il n'est pas démontré que la mesure contestée concernerait les actions nos aaa à bbb de la recourante. Par ailleurs, en tant que celle-ci soutient que les décisions des assemblées générales prises sous l'empire des mesures provisionnelles litigieuses ne pourront jamais être modifiées, vu le délai péremptoire de l' art. 706a al. 1 CO et l'impossibilité d'invoquer un vice découlant de la limitation de ses droits d'actionnaire, elle n'établit pas non plus que son prétendu dommage ne pourrait être réparé par une décision ultérieure favorable à ses intérêts. Ce d'autant que la masse successorale est en l'occurrence suffisamment importante pour que les éléments actuellement disputés puissent être financièrement compensés entre les héritiers, ainsi que le fait valoir l'intimé. Il s'ensuit que l'arrêt entrepris ne peut faire l'objet d'un recours immédiat au Tribunal fédéral.</w:t>
      </w:r>
    </w:p>
    <w:p>
      <w:r>
        <w:rPr>
          <w:b/>
        </w:rPr>
        <w:t>E. 3</w:t>
      </w:r>
    </w:p>
    <w:p>
      <w:r>
        <w:t>Vu ce qui précède, le recours doit être déclaré irrecevable. Les frais judiciaires, arrêtés à 10'000 fr., seront dès lors mis à la charge de la recourante ( art. 66 al. 1 LTF ), qui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