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5A_257/2018 vom 20. April 2018</w:t>
      </w:r>
    </w:p>
    <w:p>
      <w:r>
        <w:t>Bundesgericht, 2018-04-20, DE</w:t>
      </w:r>
    </w:p>
    <w:p>
      <w:r>
        <w:rPr>
          <w:b/>
        </w:rPr>
        <w:t xml:space="preserve">Quelle: </w:t>
      </w:r>
      <w:r>
        <w:t>https://mcp.opencaselaw.ch/entscheid/bger_5A_257_2018</w:t>
      </w:r>
    </w:p>
    <w:p>
      <w:r>
        <w:t>FR: TF 5A_257/2018 du 20 avril 2018</w:t>
      </w:r>
    </w:p>
    <w:p>
      <w:r>
        <w:t>IT: TF 5A_257/2018 del 20 aprile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Die Eingabe vom 15. März 2018 enthält weder das eine noch das andere, weshalb auf sie nicht einzutreten ist.</w:t>
      </w:r>
    </w:p>
    <w:p>
      <w:r>
        <w:rPr>
          <w:b/>
        </w:rPr>
        <w:t>E. 2</w:t>
      </w:r>
    </w:p>
    <w:p>
      <w:r>
        <w:t>Vor diesem Hintergrund konnte der Beschwerde, soweit eine solche tatsächlich erhoben und nicht bloss angekündigt wurde, von Anfang an kein Erfolg beschieden sein, weshalb es an den materiellen Voraussetzungen der unentgeltlichen Rechtspflege fehlt ( Art. 64 Abs. 1 BGG ) und das entsprechende Gesuch abzuweisen ist.</w:t>
      </w:r>
    </w:p>
    <w:p>
      <w:r>
        <w:t>Angesichts der konkreten Umstände rechtfertigt es sich indes, ausnahmsweise auf die Erhebung von Gerichtskosten zu verzichten ( Art. 66 Abs. 1 BGG ). Damit wäre das Gesuch um unentgeltliche Rechtsflege ohnehin auch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