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5A_256/2026 vom 1. Mai 2026</w:t>
      </w:r>
    </w:p>
    <w:p>
      <w:r>
        <w:t>Bundesgericht, 2026-05-01, DE</w:t>
      </w:r>
    </w:p>
    <w:p>
      <w:r>
        <w:rPr>
          <w:b/>
        </w:rPr>
        <w:t xml:space="preserve">Quelle: </w:t>
      </w:r>
      <w:r>
        <w:t>https://mcp.opencaselaw.ch/entscheid/bger_5A_256_2026</w:t>
      </w:r>
    </w:p>
    <w:p>
      <w:r>
        <w:t>FR: TF 5A_256/2026 du 1 mai 2026</w:t>
      </w:r>
    </w:p>
    <w:p>
      <w:r>
        <w:t>IT: TF 5A_256/2026 del 1 maggio 2026</w:t>
      </w:r>
    </w:p>
    <w:p>
      <w:pPr>
        <w:pStyle w:val="Heading2"/>
      </w:pPr>
      <w:r>
        <w:t>Erwägungen</w:t>
      </w:r>
    </w:p>
    <w:p>
      <w:r>
        <w:rPr>
          <w:b/>
        </w:rPr>
        <w:t>E. 1</w:t>
      </w:r>
    </w:p>
    <w:p>
      <w:r>
        <w:t>Mit Urteil vom 17. Februar 2026 eröffnete das Bezirksgericht Dielsdorf den Konkurs über die Beschwerdeführerin.</w:t>
      </w:r>
    </w:p>
    <w:p>
      <w:r>
        <w:t>Dagegen erhob die Beschwerdeführerin am 18. Februar 2026 Beschwerde beim Obergericht des Kantons Zürich. Am 19. Februar 2026 und 23. Februar 2026 (Poststempel) reichte sie weitere Eingaben ein. Mit Entscheid vom 11. März 2026 wies das Obergericht die Beschwerde ab.</w:t>
      </w:r>
    </w:p>
    <w:p>
      <w:r>
        <w:t>Dagegen hat die Beschwerdeführerin am 18. März 2026 Beschwerde an das Bundesgericht erhoben. Mit Verfügung vom 20. März 2026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Feststellung des Sachverhalts kann nur unter den Voraussetzungen von Art. 97 Abs. 1 BGG gerügt werden. Dabei gilt bei der Rüge der offensichtlich unrichtigen Sachverhaltsfeststellung das strenge Rügeprinzip ( Art. 106 Abs. 2 BGG ; BGE 140 III 16 E. 1.3.1; 140 III 264 E. 2.3).</w:t>
      </w:r>
    </w:p>
    <w:p>
      <w:r>
        <w:rPr>
          <w:b/>
        </w:rPr>
        <w:t>E. 3</w:t>
      </w:r>
    </w:p>
    <w:p>
      <w:r>
        <w:t>Das Obergericht hat erwogen, dass die Beschwerdeführerin die Schuld nicht vollständig beglichen und ihre Zahlungsfähigkeit nicht glaubhaft gemacht habe.</w:t>
      </w:r>
    </w:p>
    <w:p>
      <w:r>
        <w:t>Die Beschwerdeführerin setzt sich mit den eingehenden Erwägungen des Obergerichts nicht auseinander. Stattdessen wiederholt sie, was sie vor Obergericht vorgetragen hat, schildert den Sachverhalt aus ihrer Sicht und macht geltend, das Obergericht habe ihre Ausführungen nicht gründlich beurteilt und es solle eine neue und gründlichere Prüfung der eingereichten Unterlagen erfolgen. Namentlich genügen den Begründungs- und Rügeanforderungen die Vorbringen nicht, die Forderung sei nun vollumfänglich getilgt, die Beanstandung des Fehlens von Steuererklärungen der letzten Veranlagungsperioden könne nicht nachvollzogen werden und die Bankkontoauszüge schilderten die Finanzlage nicht negativ.</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die angesichts des geringen entstandenen Aufwands gesenkt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