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5A_256/2015 vom 13. August 2015</w:t>
      </w:r>
    </w:p>
    <w:p>
      <w:r>
        <w:t>Bundesgericht, 2015-08-13, FR</w:t>
      </w:r>
    </w:p>
    <w:p>
      <w:r>
        <w:rPr>
          <w:b/>
        </w:rPr>
        <w:t xml:space="preserve">Quelle: </w:t>
      </w:r>
      <w:r>
        <w:t>https://mcp.opencaselaw.ch/entscheid/bger_5A_256_2015</w:t>
      </w:r>
    </w:p>
    <w:p>
      <w:r>
        <w:t>FR: TF 5A_256/2015 du 13 août 2015</w:t>
      </w:r>
    </w:p>
    <w:p>
      <w:r>
        <w:t>IT: TF 5A_256/2015 del 13 agosto 2015</w:t>
      </w:r>
    </w:p>
    <w:p>
      <w:pPr>
        <w:pStyle w:val="Heading2"/>
      </w:pPr>
      <w:r>
        <w:t>Erwägungen</w:t>
      </w:r>
    </w:p>
    <w:p>
      <w:r>
        <w:rPr>
          <w:b/>
        </w:rPr>
        <w:t>E. 1.1</w:t>
      </w:r>
    </w:p>
    <w:p>
      <w:r>
        <w:t>Le recours a été déposé en temps utile ( art. 100 al. 1 LTF ) ainsi que dans la forme légale ( art. 42 LTF ), contre une décision finale ( art. 90 LTF ) rendue sur recours par une autorité supérieure statuant en dernière instance cantonale ( art. 75 al. 1 et 2 LTF ) dans une affaire matrimoniale, autrement dit en matière civile ( art. 72 al. 1 LTF ; ATF 138 III 193 consid. 1), par la partie qui a succombé dans ses conclusions prises devant l'autorité précédente ( art. 76 al. 1 LTF ). Le litige porte sur la garde des enfants et sur les contributions d'entretien en faveur de ceux-ci, ainsi que sur les frais et dépens de la procédure de première instance, en sorte que la cause est de nature non pécuniaire dans son ensemble (arrêts 5A_267/2015 du 3 juillet 2015 consid. 1.2; 5A_46/2015 du 26 mai 2015 consid. 1; 5A_724/2014 du 27 mars 2015 consid. 1.1). Le présent recours en matière civile est donc recevable au regard des dispositions qui précèdent.</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il n'examine en principe que les griefs invoqués; il n'est pas tenu de traiter, comme le ferait une autorité de première instance, toutes les questions juridiques qui se posent, lorsqu'elles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 5A_756/2014 du 23 juin 2015 consid. 1.2). Le Tribunal fédéral ne connaît en outre de la violation des droits fondamentaux que si ce grief a été invoqué et dûment motivé par le recourant ("principe d'allégation",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1.3</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w:t>
      </w:r>
    </w:p>
    <w:p>
      <w:r>
        <w:t>cf. supra consid. 1.2), sous peine d'irrecevabilité.</w:t>
      </w:r>
    </w:p>
    <w:p>
      <w:r>
        <w:rPr>
          <w:b/>
        </w:rPr>
        <w:t>E. 2</w:t>
      </w:r>
    </w:p>
    <w:p>
      <w:r>
        <w:t>Le recourant soutient que l'autorité cantonale a fait preuve d'arbitraire dans l'appréciation des preuves et violé l' art. 29 al. 2 Cst. en refusant la mise en oeuvre d'une nouvelle expertise ou, à tout le moins, d'un complément d'expertise concernant l'attribution de la garde des enfants.</w:t>
      </w:r>
    </w:p>
    <w:p>
      <w:r>
        <w:rPr>
          <w:b/>
        </w:rPr>
        <w:t>E. 2.1.1</w:t>
      </w:r>
    </w:p>
    <w:p>
      <w:r>
        <w:t>Que le droit à la preuve soit fondé sur l' art. 29 al. 2 Cst. ou sur l' art. 8 CC , qui s'applique si les moyens de preuve sont invoqués en relation avec un droit subjectif privé découlant d'une norme de droit matériel fédéral (arrêts 4A_354/2014 du 14 janvier 2015 consid. 6.1; 4A_228/2012 du 28 août 2012 consid. 2.3 non publié</w:t>
      </w:r>
    </w:p>
    <w:p>
      <w:r>
        <w:t>in</w:t>
      </w:r>
    </w:p>
    <w:p>
      <w:r>
        <w:t>ATF 138 III 625 ; 5A_726/2009 du 30 avril 2010 consid. 3.1 non publié</w:t>
      </w:r>
    </w:p>
    <w:p>
      <w:r>
        <w:t>in</w:t>
      </w:r>
    </w:p>
    <w:p>
      <w:r>
        <w:t>ATF 136 III 365 ), ses conditions n'en sont pas différentes. Le droit à la preuve n'existe que s'il s'agit d'établir un fait pertinent, qui n'est pas déjà prouvé, par une mesure probatoire adéquate, laquelle a été régulièrement offerte selon les règles de la procédure ( ATF 138 V 125 consid. 2.1; 135 I 187 consid. 2.2).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140 I 285 consid. 6.3; arrêt 6B_909/2014 du 21 mai 2015 consid. 3.1.1). Savoir si l'autorité cantonale n'a pas pris en compte un moyen de preuve propre à modifier la décision relève de l'arbitraire dans l'appréciation des preuves et l'établissement des faits ( art. 9 Cst. ).</w:t>
      </w:r>
    </w:p>
    <w:p>
      <w:r>
        <w:rPr>
          <w:b/>
        </w:rPr>
        <w:t>E. 2.1.2</w:t>
      </w:r>
    </w:p>
    <w:p>
      <w:r>
        <w:t>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133 II 249 consid. 1.4.3; 129 I 8 consid. 2.1 et les références).</w:t>
      </w:r>
    </w:p>
    <w:p>
      <w:r>
        <w:t>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 ATF 129 I 49 consid. 4; 128 I 81 consid. 2; 122 V 157 consid. 1c). Il est alors tenu de motiver sa décision de ne pas suivre le rapport d'expertise (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118 Ia 144 consid. 1c).</w:t>
      </w:r>
    </w:p>
    <w:p>
      <w:r>
        <w:rPr>
          <w:b/>
        </w:rPr>
        <w:t>E. 2.2.1</w:t>
      </w:r>
    </w:p>
    <w:p>
      <w:r>
        <w:t>En l'espèce, l'autorité cantonale a considéré, en se référant au rapport d'évaluation du SPJ du 15 mars 2010, à l'expertise pédopsychiatrique de E.________ du 11 octobre 2010, à celle du Dr F.________ du 3 juillet 2013 et au rapport du SEJ du 26 août 2013 que plusieurs professionnels s'étaient penchés sur la problématique de la famille au cours de la procédure et que ceux-ci étaient tous parvenus aux mêmes conclusions. De plus, le mari avait déjà contesté l'expertise du 11 octobre 2010 lors d'un précédent appel à l'encontre du premier prononcé de mesures protectrices attribuant la garde des enfants à la mère, appel qui avait été rejeté. Pour l'autorité cantonale, l'analyse des premiers juges s'agissant de l'attribution de la garde ne prêtait pas le flanc à la critique. Ceux-ci avaient en effet relevé, à juste titre, que tous les intervenants avaient unanimement retenu que le père faisait preuve d'un comportement disqualifiant et irrationnellement méfiant à l'égard de la mère. En revanche, ils avaient tous mis en évidence le fait que celle-ci avait su rester adéquate tant avec les enfants qu'avec son mari, nonobstant les attaques et les critiques dont elle était la cible de la part de celui-ci. Le jugement de première instance relevait encore que le père avait systématiquement douté de la partialité et du professionnalisme des experts et des autres intervenants, ce qu'il démontrait d'ailleurs une fois encore dans son appel. Toutefois, comme l'avaient retenu les premiers juges, aucun élément objectif ne permettait de remettre en cause leur intégrité, la qualité de leur travail et la pertinence de leur analyse, ce qui pouvait être confirmé une nouvelle fois s'agissant de l'expertise du Dr F.________. Le grief du mari selon lequel le Tribunal avait rejeté à tort sa requête de nouvelle expertise devait donc être rejeté.</w:t>
      </w:r>
    </w:p>
    <w:p>
      <w:r>
        <w:rPr>
          <w:b/>
        </w:rPr>
        <w:t>E. 2.2.2</w:t>
      </w:r>
    </w:p>
    <w:p>
      <w:r>
        <w:t>Il appert ainsi que l'autorité cantonale a refusé la mise en oeuvre d'une nouvelle expertise à la suite d'une appréciation anticipée des preuves, procédé qui ne viole pas le droit d'être entendu (cf.</w:t>
      </w:r>
    </w:p>
    <w:p>
      <w:r>
        <w:t>supra consid. 2.1), étant précisé que la maxime inquisitoire n'interdit pas au juge de procéder à une appréciation anticipée des preuve déjà recueillies pour évaluer la nécessité d'en faire administrer d'autres ( art. 296 al. 1 CPC ; ATF 130 III 734 consid. 2.2.3 et les références; arrêts 5A_54372014 du 17 mars 2015 consid. 2.2.1; 5A_529/2014 du 18 février 2015 consid. 2.3; 5A_505/2013 du 20 août 2013 consid. 5.2.1, publié</w:t>
      </w:r>
    </w:p>
    <w:p>
      <w:r>
        <w:t>in FamPra.ch 2013 p. 1049 s.).</w:t>
      </w:r>
    </w:p>
    <w:p>
      <w:r>
        <w:t>Or le recourant n'établit en rien le caractère arbitraire de l'appréciation des preuves à laquelle s'est livrée l'autorité cantonale. Il se borne à soutenir, d'une part, que l'intimée s'est toujours montrée beaucoup plus adéquate que lui avec les experts et les assistants sociaux, qui ont par conséquent systématiquement pris le parti de celle-ci, alors même qu'il présente des capacités parentales certaines. Il prétend, d'autre part, que la dernière expertise mise en oeuvre présente de graves contradictions, ainsi qu'un manque d'analyse et de rigueur, ce qui remet en cause sa validité. A cet égard, il reproche surtout à l'expert de ne pas avoir abordé la question des actes à caractère sexuel concernant son fils, actes qu'il avait dénoncés au Tribunal. Ce grief n'est toutefois pas fondé. Les juges précédents ont en effet relevé que le Dr F.________ et ses co-experts s'étaient également prononcés sur les faits à caractère sexuel dénoncés par le père en indiquant que, d'après leurs observations cliniques et d'un point de vue tant médical que psychologique, rien dans l'attitude ou dans les paroles du fils des parties ne laissait apparaître un éventuel trauma lié à un tel épisode. Au demeurant, la mère n'avait, à leur sens, commis aucun acte légalement répréhensible dans sa relation à ses enfants, qui évoluaient dans un environnement stable et sain. Lesdits experts avaient par ailleurs rappelé qu'il était "tout à fait normal que les enfants de cet âge entament la découverte de leur corps et pratiquent des jeux qui pourraient aux yeux de non professionnels prendre des allures de faits inadéquats et situations inappropriées". Reprenant ses critiques formulées en appel, le recourant oppose sa propre appréciation à celle de l'autorité cantonale ( art. 106 al. 2 LTF ; cf.</w:t>
      </w:r>
    </w:p>
    <w:p>
      <w:r>
        <w:t>supra consid. 1.2). Ce faisant, il n'établit pas en quoi les conclusions de l'expertise judiciaire seraient douteuses, voire erronées, en sorte que l'autorité cantonale aurait dû éprouver des doutes sur la nature probante de celle-ci et, par conséquent, ordonner un complément d'expertise ou une nouvelle expertise. Cela d'autant plus qu'il est établi que les différents professionnels qui ont évalué la situation des enfants sont parvenus aux mêmes conclusions.</w:t>
      </w:r>
    </w:p>
    <w:p>
      <w:r>
        <w:t>Les griefs de violation du droit d'être entendu et d'arbitraire soulevés en relation avec l'appréciation des preuves et l'établissement des faits doivent donc être rejetés, dans la mesure de leur recevabilité.</w:t>
      </w:r>
    </w:p>
    <w:p>
      <w:r>
        <w:rPr>
          <w:b/>
        </w:rPr>
        <w:t>E. 3</w:t>
      </w:r>
    </w:p>
    <w:p>
      <w:r>
        <w:t>Le recourant conteste ensuite la mise à sa charge d'une contribution à l'entretien de ses enfants, arguant qu'un revenu hypothétique ne peut lui être imputé. Il soulève à cet égard une violation des art. 276 CC et 27 Cst.</w:t>
      </w:r>
    </w:p>
    <w:p>
      <w:r>
        <w:rPr>
          <w:b/>
        </w:rPr>
        <w:t>E. 3.1</w:t>
      </w:r>
    </w:p>
    <w:p>
      <w:r>
        <w:t>Le moyen tiré d'une violation de la liberté économique ( art. 27 al. 1 Cst. ) est d'emblée irrecevable. Certes,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Cependant, la reconnaissance de cet effet "horizontal" des droits fondamentaux n'empêche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arrêt 5A_44/2011 du 16 novembre 2011 consid. 7 et les références). En conséquence, le recourant ne saurait se prévaloir directement, dans une cause relevant du droit privé de la famille, de la garantie constitutionnelle de la liberté économique (arrêts 5A_506/2014 du 23 octobre 2014 consid. 4.3.2; 5A_44/2011 précité; 5A_871/2009 du 2 juin 2010 consid. 2).</w:t>
      </w:r>
    </w:p>
    <w:p>
      <w:r>
        <w:rPr>
          <w:b/>
        </w:rPr>
        <w:t>E. 3.2.1</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 art. 285 al. 1 CC , la contribution d'entretien doit correspondre aux besoins de l'enfant ainsi qu'à la situation et aux ressources des père et mère (arrêt 5A_874/2014 du 8 mai 2015 consid. 4.2 et la référence). La loi ne prescrit pas de méthode de calcul particulière pour arrêter la contribution d'entretien ( ATF 128 III 411 consid. 3.2.2); sa fixation relève de l'appréciation du juge, qui jouit d'un large pouvoir d'appréciation ( ATF 127 III 136 consid. 3a; 120 II 285 consid. 3b/bb; arrêt 5A_874/2014 du 8 mai 2015 consid. 4.2) et applique les règles du droit et de l'équité ( art. 4 CC ; ATF 127 III 136 précité; arrêt 5A_296/2014 du 24 juin 2015 consid. 1.2).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t>L'obligation d'entretien trouve sa limite dans la capacité contributive du débirentier, en ce sens que le minimum vital de celui-ci doit être préservé ( ATF 135 III 66 consid. 2; 123 III 1 consid. 3b/bb et consid. 5</w:t>
      </w:r>
    </w:p>
    <w:p>
      <w:r>
        <w:t>in fine ). S'agissant toutefois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 5A_874/2014 précité consid. 6.2.1 et la jurisprudence citée).</w:t>
      </w:r>
    </w:p>
    <w:p>
      <w:r>
        <w:rPr>
          <w:b/>
        </w:rPr>
        <w:t>E. 3.2.2</w:t>
      </w:r>
    </w:p>
    <w:p>
      <w:r>
        <w:t>Lorsqu'il entend imputer à un époux un revenu hypothétique supérieur à celui obtenu effectivement, le juge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 128 III 4 consid. 4c/bb; 126 III 10 consid. 2b). Pour arrêter le montant du salaire, le juge peut éventuellement se baser sur l'enquête suisse sur la structure des salaires, réalisée par l'Office fédéral de la statistique, ou sur d'autres sources ( ATF 137 III 118 consid. 3.2).</w:t>
      </w:r>
    </w:p>
    <w:p>
      <w:r>
        <w:t>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 5A_724/2009 du 26 avril 2010 consid. 5.3 publié</w:t>
      </w:r>
    </w:p>
    <w:p>
      <w:r>
        <w:t>in FamPra.ch 2010 p. 673).</w:t>
      </w:r>
    </w:p>
    <w:p>
      <w:r>
        <w:rPr>
          <w:b/>
        </w:rPr>
        <w:t>E. 3.3.1</w:t>
      </w:r>
    </w:p>
    <w:p>
      <w:r>
        <w:t>En l'occurrence, l'autorité cantonale a considéré que le mari était âgé de 47 ans et, bien qu'il n'ait pas de formation, était en bonne santé. Compte tenu de la situation financière précaire des parties, des exigences particulièrement élevées devaient être posées quant à la mise à profit de sa capacité de gain. Dans un tel contexte, l'argument consistant à dire que son travail de chauffeur de taxi lui plaisait et que ce serait un trop grand choc que de changer d'emploi était sans pertinence, les besoins vitaux de ses enfants étant prioritaires. Compte tenu de ses obligations d'entretien, on pouvait exiger de lui qu'il élargisse ses recherches à d'autres activités professionnelles, par exemple celle de chauffeur-livreur. Partant, un revenu hypothétique devait lui être imputé.</w:t>
      </w:r>
    </w:p>
    <w:p>
      <w:r>
        <w:t>Cela étant, vu les circonstances, en particulier le fait que le mari avait, en accord avec son épouse, mis son activité professionnelle entre parenthèses pour s'occuper du ménage et des enfants lorsque le couple vivait encore ensemble, ainsi que son absence de formation spécifique, on ne pouvait s'en tenir qu'aux bas salaires de la catégorie des chauffeurs-livreurs. Selon les données de l'enquête de l'Office fédéral de la statistique sur la structure des salaires en 2010, un tel salaire s'élevait au moins à 3'890 fr. brut, soit 3'400 fr. net. En fixant les contributions d'entretien globales à 25% du revenu hypothétique retenu - comme l'avait fait le premier juge sans être critiqué en appel -, on parvenait à un montant de 425 fr. par enfant jusqu'à l'âge de 10 ans, 475 fr. jusqu'à l'âge de 15 ans, puis 525 fr. jusqu'à la majorité et, au-delà, jusqu'à l'achèvement de la formation professionnelle.</w:t>
      </w:r>
    </w:p>
    <w:p>
      <w:r>
        <w:rPr>
          <w:b/>
        </w:rPr>
        <w:t>E. 3.3.2</w:t>
      </w:r>
    </w:p>
    <w:p>
      <w:r>
        <w:t>Le recourant expose qu'on ne saurait lui imputer de revenu hypothétique dès lors qu'il ne dépend pas complètement de l'aide sociale, mais bénéficie d'un emploi stable comme chauffeur de taxi. Ce travail lui assure un gain certes faible, qui doit être complété par le revenu d'insertion. Il constitue cependant un facteur d'intégration sociale, d'autant qu'il a longtemps été père au foyer. Il ne serait donc pas équitable d'exiger davantage de lui, alors qu'il fait déjà l'effort de travailler et vise, à terme, un statut de chauffeur de taxi indépendant. Le forcer à changer d'emploi risquerait en outre de le placer dans une situation encore moins favorable qu'actuellement, dans la mesure où il risquerait de perdre ce nouveau travail et se retrouverait alors totalement à l'aide sociale, voire dans le meilleur des cas au chômage. Selon lui, le recours à un revenu hypothétique devrait concerner avant tout des personnes qui refusent de travailler, alors qu'elles seraient en mesure de le faire. Tel n'est pas le cas en l'espèce, puisqu'on l'oblige à quitter son emploi, ce qui est une mesure extrêmement violente.</w:t>
      </w:r>
    </w:p>
    <w:p>
      <w:r>
        <w:t>Ces allégations, de nature essentiellement appellatoire, ne permettent pas de considérer que la juridiction cantonale aurait enfreint le droit fédéral en estimant, vu les circonstances (en particulier l'âge et l'état de santé de l'intéressé, la situation financière précaire des parties et l'obligation d'entretenir des enfants mineurs), qu'il pouvait raisonnablement être exigé de l'intimé qu'il s'efforce de réaliser un revenu supérieur à celui qu'il perçoit actuellement.</w:t>
      </w:r>
    </w:p>
    <w:p>
      <w:r>
        <w:t>Par ailleurs, on ne discerne pas en quoi il serait insoutenable de retenir que l'intéressé a la possibilité effective de trouver un emploi dans le domaine des bas salaires, tel qu'une activité de chauffeur-livreur, et de percevoir un revenu mensuel de 3'400 fr. net à ce titre (et non pas 4'000 fr. comme l'allègue à tort le recourant). La juridiction précédente a fixé ce montant en se référant à l'enquête suisse sur la structure des salaires réalisée par l'Office fédéral de la statistique, ce qui est conforme à la jurisprudence ( cf.</w:t>
      </w:r>
    </w:p>
    <w:p>
      <w:r>
        <w:t>supra consid. 3.2.2). Or le recourant se contente d'affirmer, de manière toute générale, que l'autorité cantonale n'a pas tenu compte du marché du travail difficile dans ce secteur et du fait que son âge (47 ans) rend toute recherche d'emploi ardue, particulièrement s'agissant d'emploi peu qualifiés, les employeurs privilégiant des personnes plus jeunes. En définitive, l'autorité cantonale a déterminé le revenu hypothétique de l'intimé en appuyant son appréciation sur des considérations factuelles suffisantes, et dont le caractère arbitraire n'est pas démontré. Par conséquent, le grief doit être rejeté pour autant que recevable.</w:t>
      </w:r>
    </w:p>
    <w:p>
      <w:r>
        <w:rPr>
          <w:b/>
        </w:rPr>
        <w:t>E. 4</w:t>
      </w:r>
    </w:p>
    <w:p>
      <w:r>
        <w:t>Le recourant soutient en outre qu'il a fait valoir que son minimum vital ne tenait pas compte de ses charges réelles, soit du fait qu'il assumait les 3/4 du loyer - correspondant aux frais de logement pour lui et ses deux enfants, le dernier quart étant à la charge de sa concubine -, ni de ses frais d'assistance judiciaire et de ses impôts.</w:t>
      </w:r>
    </w:p>
    <w:p>
      <w:r>
        <w:t>Selon l'arrêt querellé, le recourant a certes reproché aux premiers juges d'avoir retenu que sa compagne contribuait pour moitié au loyer et de ne pas avoir pris en compte dans ses charges les impôts ainsi que le montant de 100 fr. versé mensuellement à titre de remboursement de l'assistance judiciaire. En réponse à ces griefs, l'autorité cantonale a considéré qu'il était en principe admissible de retenir une participation à la charge du concubin de la moitié du loyer, même si ses revenus étaient inférieurs, vu les directives relatives aux normes d'insaisissabilité. Par ailleurs, lorsque la situation financière des parties était, comme ici, serrée, les impôts courants et arriérés de même que la franchise mensuelle de l'assistance judiciaire n'entraient pas dans le minimum vital du débiteur. L'analyse des premiers juges devait donc être entièrement confirmée s'agissant du calcul des charges incompressibles du débirentier.</w:t>
      </w:r>
    </w:p>
    <w:p>
      <w:r>
        <w:t>Le recourant ne s'en prend pas à cette motivation, en sorte que son grief est irrecevable (cf.</w:t>
      </w:r>
    </w:p>
    <w:p>
      <w:r>
        <w:t>supra consid. 1.2).</w:t>
      </w:r>
    </w:p>
    <w:p>
      <w:r>
        <w:rPr>
          <w:b/>
        </w:rPr>
        <w:t>E. 5</w:t>
      </w:r>
    </w:p>
    <w:p>
      <w:r>
        <w:t>Le recourant reproche encore à l'autorité cantonale d'avoir confirmé la mise à sa charge de l'entier des frais et dépens de première instance, de même qu'un montant de 200 fr. pour la décision incidente prise sur le siège par le Tribunal.</w:t>
      </w:r>
    </w:p>
    <w:p>
      <w:r>
        <w:t>Contrairement à ce que paraît prétendre le recourant, les juges précédents ont estimé que, compte tenu de l'admission très partielle de son appel, la répartition des frais judiciaires et l'allocation des dépens de première instance devaient être réexaminées. Dès lors qu'il avait obtenu une réduction minime de la pension due mais succombait entièrement sur tous les autres points, en particulier sur celui de la garde, qui constituait la question essentielle du litige, il se justifiait de mettre à sa charge les frais de justice de première instance à hauteur de 9/10 ainsi que des dépens réduits de 2/10. Quoi qu'il en soit, le grief du recourant consiste à reprendre presque mot pour mot l'argumentation formée devant l'autorité cantonale, sans se déterminer par rapport aux motifs de la décision entreprise. La critique est, partant, irrecevable (cf.</w:t>
      </w:r>
    </w:p>
    <w:p>
      <w:r>
        <w:t>supra consid. 1.2).</w:t>
      </w:r>
    </w:p>
    <w:p>
      <w:r>
        <w:rPr>
          <w:b/>
        </w:rPr>
        <w:t>E. 6</w:t>
      </w:r>
    </w:p>
    <w:p>
      <w:r>
        <w:t>Le chef de conclusions du recourant tendant à ce qu'une pension soit mise à la charge de l'intimée, outre qu'il n'est pas chiffré ( ATF 134 III 235 consid. 2), n'a pas à être examiné, la garde des enfants restant confiée à celle-ci. Le recourant ne formule du reste aucune motivation sur ce point.</w:t>
      </w:r>
    </w:p>
    <w:p>
      <w:r>
        <w:rPr>
          <w:b/>
        </w:rPr>
        <w:t>E. 7</w:t>
      </w:r>
    </w:p>
    <w:p>
      <w:r>
        <w:t>En conclusion, le recours se révèle mal fondé et doit dès lors être rejeté, dans la mesure où il est recevable. Vu l'issue - prévisible - de la procédure, la requête d'assistance judiciaire ne saurait être agréée ( art. 64 al. 1 LTF ). Le recourant supportera par conséquent les frais de justice, dont le montant sera toutefois fixé en tenant compte de sa situation financière (art. 65 al. 2 et 66 al. 1 LTF).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