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5A_255/2019 vom 27. März 2019</w:t>
      </w:r>
    </w:p>
    <w:p>
      <w:r>
        <w:t>Bundesgericht, 2019-03-27, DE</w:t>
      </w:r>
    </w:p>
    <w:p>
      <w:r>
        <w:rPr>
          <w:b/>
        </w:rPr>
        <w:t xml:space="preserve">Quelle: </w:t>
      </w:r>
      <w:r>
        <w:t>https://mcp.opencaselaw.ch/entscheid/bger_5A_255_2019</w:t>
      </w:r>
    </w:p>
    <w:p>
      <w:r>
        <w:t>FR: TF 5A_255/2019 du 27 mars 2019</w:t>
      </w:r>
    </w:p>
    <w:p>
      <w:r>
        <w:t>IT: TF 5A_255/2019 del 27 marzo 2019</w:t>
      </w:r>
    </w:p>
    <w:p>
      <w:pPr>
        <w:pStyle w:val="Heading2"/>
      </w:pPr>
      <w:r>
        <w:t>Erwägungen</w:t>
      </w:r>
    </w:p>
    <w:p>
      <w:r>
        <w:rPr>
          <w:b/>
        </w:rPr>
        <w:t>E. 1</w:t>
      </w:r>
    </w:p>
    <w:p>
      <w:r>
        <w:t>Mit Verfügung vom 6. März 2019 hat die Aufsichtsbehörde für Schuldbetreibung und Konkurs des Kantons Solothurn ein sinngemässes Gesuch des Beschwerdeführers um aufschiebende Wirkung abgewiesen. Zur Begründung hat sie auf eine Interessenabwägung abgestellt. Dabei seien auch die Aussichten auf den Verfahrensausgang zu berücksichtigen. Die Interessen des Schuldners wögen gegenüber dem Interesse des Betreibungsamtes so lange nicht eindeutig schwerer, als nicht mit grosser Wahrscheinlichkeit anzunehmen sei, dass jener obsiegen werde. Mit Blick auf die geltend gemachten Rügen und die Akten stehe nicht rechtsgenüglich fest, dass der Beschwerdeführer mit grosser Wahrscheinlichkeit obsiegen werde. Daran ändere auch das Verfahren vor Bundesgericht (5A_195/2019) nichts.</w:t>
      </w:r>
    </w:p>
    <w:p>
      <w:r>
        <w:t>Gegen diese Verfügung hat der Beschwerdeführer am 22. März 2019 Beschwerde an das Bundesgericht erhoben.</w:t>
      </w:r>
    </w:p>
    <w:p>
      <w:r>
        <w:rPr>
          <w:b/>
        </w:rPr>
        <w:t>E. 2</w:t>
      </w:r>
    </w:p>
    <w:p>
      <w:r>
        <w:t>Gegen die angefochtene Verfügung ist die Beschwerde in Zivilsachen das zutreffende Rechtsmittel ( Art. 72 Abs. 2 lit. a, Art. 74 Abs. 2 lit. c, Art. 75 BGG ).</w:t>
      </w:r>
    </w:p>
    <w:p>
      <w:r>
        <w:t>Da es beim Entscheid über die aufschiebende Wirkung um eine vorsorgliche Massnahme im Sinne von Art. 98 BGG geht ( BGE 137 III 475 E. 2 S. 477; 134 II 192 E. 1.5 S. 196 f.),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3</w:t>
      </w:r>
    </w:p>
    <w:p>
      <w:r>
        <w:t>Der Beschwerdeführer geht nicht auf die von der Aufsichtsbehörde vorgenommene Interessenabwägung ein. Der blosse Hinweis auf das Verfahren 5A_195/2019 genügt nicht, um aufzuzeigen, dass die Aufsichtsbehörde gegen verfassungsmässige Rechte verstossen haben soll.</w:t>
      </w:r>
    </w:p>
    <w:p>
      <w:r>
        <w:t>Die Beschwerde ist somit offensichtlich unzureichend begründet. Auf sie ist im vereinfachten Verfahren gemäss Art. 108 Abs. 1 lit.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