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5A_254/2025 vom 22. Mai 2025</w:t>
      </w:r>
    </w:p>
    <w:p>
      <w:r>
        <w:t>Bundesgericht, 2025-05-22, DE</w:t>
      </w:r>
    </w:p>
    <w:p>
      <w:r>
        <w:rPr>
          <w:b/>
        </w:rPr>
        <w:t xml:space="preserve">Quelle: </w:t>
      </w:r>
      <w:r>
        <w:t>https://mcp.opencaselaw.ch/entscheid/bger_5A_254_2025</w:t>
      </w:r>
    </w:p>
    <w:p>
      <w:r>
        <w:t>FR: TF 5A_254/2025 du 22 mai 2025</w:t>
      </w:r>
    </w:p>
    <w:p>
      <w:r>
        <w:t>IT: TF 5A_254/2025 del 22 maggio 2025</w:t>
      </w:r>
    </w:p>
    <w:p>
      <w:pPr>
        <w:pStyle w:val="Heading2"/>
      </w:pPr>
      <w:r>
        <w:t>Erwägungen</w:t>
      </w:r>
    </w:p>
    <w:p>
      <w:r>
        <w:rPr>
          <w:b/>
        </w:rPr>
        <w:t>E. 1</w:t>
      </w:r>
    </w:p>
    <w:p>
      <w:r>
        <w:t>Der Kanton Zürich betreibt die Beschwerdeführerin in der Betreibung Nr. xxx des Betreibungsamtes Zürich 7. Der Zahlungsbefehl wurde der Beschwerdeführerin am 12. Dezember 2024 zugestellt. Gegen den Zahlungsbefehl erhob die Beschwerdeführerin am 23. Dezember 2024 Beschwerde beim Bezirksgericht Zürich. Mit Zirkulationsbeschluss vom 13. Januar 2025 beschloss das Bezirksgericht, die Beschwerde der Beschwerdeführerin als querulatorisch und rechtsmissbräuchlich zurückzuschicken. Dagegen erhob die Beschwerdeführerin am 31. Januar 2025 Beschwerde beim Obergericht des Kantons Zürich. Mit Beschluss vom 7. März 2025 trat das Obergericht auf die Beschwerde mangels genügender Begründung nicht ein. Es auferlegte der Beschwerdeführerin eine Entscheidgebühr von Fr. 500.--. Gegen diesen Beschluss hat die Beschwerdeführerin am 3. April 2025 Beschwerde an das Bundesgericht erhoben. Mit Verfügung vom 7. April 2025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 enthält hauptsächlich die wörtliche Wiederholung der Beschwerden an das Bezirks- und an das Obergericht, wobei bereits in Letzterer die Beschwerde an das Bezirksgericht wörtlich wiederholt wurde. Ausserdem enthält sie abstrakte Rechtsausführungen aus Literatur und Rechtsprechung. Auf all dies ist nicht einzugehen. Im Übrigen macht die Beschwerdeführerin geltend, Art. 5, Art. 9 und Art. 29 Abs. 2 BV sowie Art. 238 lit. c und Art. 68 ZPO seien verletzt worden. Entgegen der unbelegten und haltlosen Auffassung des Obergerichts sei ihre Beschwerde sehr gut begründet gewesen. Dies genügt nicht um darzutun, dass sie die Begründungsanforderungen vor Obergericht erfüllt hätte. Zudem macht sie geltend, das Obergericht habe nicht von Amtes wegen überprüft, ob die Betreibung nichtig sei. Sie übergeht, dass das Obergericht ausdrücklich festgehalten hat, es seien keine Nichtigkeitsgründe im Sinne von Art. 22 Abs. 1 SchKG ersichtlich. Sie macht schliesslich geltend, der angefochtene Beschluss sei nichtig, da darauf ihr Beruf nicht erwähnt sei, womit gegen ein Kreisschreiben der Verwaltungskommission des Obergerichts verstossen worden sei. Auf dem angefochtenen Beschluss sei auch nicht angegeben, wer das Betreibungsbegehren gegen sie eingeleitet habe. Inwieweit in diesen Zusammenhängen gegen Recht (vgl. Art. 95 BGG ) verstossen worden sein soll, legt sie nicht dar. 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