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5A_254/2024 vom 10. Mai 2024</w:t>
      </w:r>
    </w:p>
    <w:p>
      <w:r>
        <w:t>Bundesgericht, 2024-05-10, DE</w:t>
      </w:r>
    </w:p>
    <w:p>
      <w:r>
        <w:rPr>
          <w:b/>
        </w:rPr>
        <w:t xml:space="preserve">Quelle: </w:t>
      </w:r>
      <w:r>
        <w:t>https://mcp.opencaselaw.ch/entscheid/bger_5A_254_2024</w:t>
      </w:r>
    </w:p>
    <w:p>
      <w:r>
        <w:t>FR: TF 5A_254/2024 du 10 mai 2024</w:t>
      </w:r>
    </w:p>
    <w:p>
      <w:r>
        <w:t>IT: TF 5A_254/2024 del 10 maggio 2024</w:t>
      </w:r>
    </w:p>
    <w:p>
      <w:pPr>
        <w:pStyle w:val="Heading2"/>
      </w:pPr>
      <w:r>
        <w:t>Erwägungen</w:t>
      </w:r>
    </w:p>
    <w:p>
      <w:r>
        <w:rPr>
          <w:b/>
        </w:rPr>
        <w:t>E. 1</w:t>
      </w:r>
    </w:p>
    <w:p>
      <w:r>
        <w:t>Neue Begehren sind vor Bundesgericht unzulässig ( Art. 99 Abs. 2 BGG ) und der Anfechtungsgegenstand kann im Verlauf des Rechtsmittelverfahrens nicht ausgedehnt werden; soweit mehr oder anderes verlangt wird, als von der Vorinstanz beurteilt wurde, kann darauf von vornherein nicht eingetreten werden ( BGE 136 II 457 E. 4.2; 136 V 362 E. 3.4.2 ; 142 I 155 E. 4.4.2). Dies betrifft namentlich die Frage der Postulationsfähigkeit und die verlangte Genugtuung.</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Beschwerdeführer stellt zahlreiche eigene Sachverhaltsbehauptungen auf (namentlich: nicht er, sondern die Beschwerdegegnerin habe die medizinischen Belange der Kinder vernachlässigt; sie entziehe ihm diese mit Polizei und Gericht in diabolischer Weise), ohne dass in diesem Kontext explizit oder wenigstens implizit eine Verfassungsrüge erhoben würde.</w:t>
      </w:r>
    </w:p>
    <w:p>
      <w:r>
        <w:t>In rechtlicher Hinsicht macht der Beschwerdeführer abstrakt geltend, das Urteil sei falsch und verletze Art. 8 EMRK ; darauf ist mangels Auseinandersetzung mit den Erwägungen des angefochtenen Entscheides nicht näher einzugehen. An der Sache vorbei geht ferner das Vorbringen, er sei kantonal von seinem Anwalt nur minimalistisch und nicht in seinem Sinn vertreten worden, weshalb sein rechtliches Gehör unheilbar verletzt sei.</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