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5A_253/2019 vom 10. April 2019</w:t>
      </w:r>
    </w:p>
    <w:p>
      <w:r>
        <w:t>Bundesgericht, 2019-04-10, FR</w:t>
      </w:r>
    </w:p>
    <w:p>
      <w:r>
        <w:rPr>
          <w:b/>
        </w:rPr>
        <w:t xml:space="preserve">Quelle: </w:t>
      </w:r>
      <w:r>
        <w:t>https://mcp.opencaselaw.ch/entscheid/bger_5A_253_2019</w:t>
      </w:r>
    </w:p>
    <w:p>
      <w:r>
        <w:t>FR: TF 5A_253/2019 du 10 avril 2019</w:t>
      </w:r>
    </w:p>
    <w:p>
      <w:r>
        <w:t>IT: TF 5A_253/2019 del 10 aprile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5A_253/2019</w:t>
      </w:r>
    </w:p>
    <w:p>
      <w:r>
        <w:t>Ordonnance du 10 avril 2019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Me François von Gunten, avocat,</w:t>
      </w:r>
    </w:p>
    <w:p>
      <w:r>
        <w:t>recourant,</w:t>
      </w:r>
    </w:p>
    <w:p>
      <w:r>
        <w:t>contre</w:t>
      </w:r>
    </w:p>
    <w:p>
      <w:r>
        <w:t>Etat de Vaud,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Cour des poursuites et faillites du Tribunal cantonal vaudois du 21 février 2019 (KC18.010380-181855).</w:t>
      </w:r>
    </w:p>
    <w:p>
      <w:r>
        <w:t>Vu :</w:t>
      </w:r>
    </w:p>
    <w:p>
      <w:r>
        <w:t>le recours en matière civile interjeté par François von Gunten contre l'arrêt rendu le 21 février 2019 par la Cour des poursuites et faillites du Tribunal cantonal vaudois;</w:t>
      </w:r>
    </w:p>
    <w:p>
      <w:r>
        <w:t>la lettre du 8 avril 2019 par laquelle le recourant déclare retirer son recours;</w:t>
      </w:r>
    </w:p>
    <w:p>
      <w:r>
        <w:t>considérant :</w:t>
      </w:r>
    </w:p>
    <w:p>
      <w:r>
        <w:t>qu'il convient de prendre acte du retrait du recours et de rayer la cause du rôle ( art. 73 PCF par renvoi de l' art. 71 LTF ; art. 32 al. 2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au recourant ( art. 66 al. 1 et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La présente ordonnance est communiquée aux parties et à la Cour des poursuites et faillites du Tribunal cantonal vaudois.</w:t>
      </w:r>
    </w:p>
    <w:p>
      <w:r>
        <w:t>Lausanne, le 10 avril 2019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