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5A_252/2017 vom 21. Juni 2017</w:t>
      </w:r>
    </w:p>
    <w:p>
      <w:r>
        <w:t>Bundesgericht, 2017-06-21, FR</w:t>
      </w:r>
    </w:p>
    <w:p>
      <w:r>
        <w:rPr>
          <w:b/>
        </w:rPr>
        <w:t xml:space="preserve">Quelle: </w:t>
      </w:r>
      <w:r>
        <w:t>https://mcp.opencaselaw.ch/entscheid/bger_5A_252_2017</w:t>
      </w:r>
    </w:p>
    <w:p>
      <w:r>
        <w:t>FR: TF 5A_252/2017 du 21 juin 2017</w:t>
      </w:r>
    </w:p>
    <w:p>
      <w:r>
        <w:t>IT: TF 5A_252/2017 del 21 giugno 2017</w:t>
      </w:r>
    </w:p>
    <w:p>
      <w:pPr>
        <w:pStyle w:val="Heading2"/>
      </w:pPr>
      <w:r>
        <w:t>Erwägungen</w:t>
      </w:r>
    </w:p>
    <w:p>
      <w:r>
        <w:rPr>
          <w:b/>
        </w:rPr>
        <w:t>E. 1</w:t>
      </w:r>
    </w:p>
    <w:p>
      <w:r>
        <w:t>Interjeté dans le délai légal ( art. 100 al. 2 let. a LTF ) et dirigé contre une décision finale ( art. 90 LTF ; ATF 133 III 350 consid. 1.2) rendue en matière de poursuite pour dettes et de faillite ( art. 72 al. 2 let. a LTF , en relation avec l' art. 19 LP ) par l'autorité cantonale de surveillance de dernière (et unique) instance ( art. 75 LTF ), le recours est en principe recevable, indépendamment de la valeur litigieuse ( art. 74 al. 2 let . c LTF). La recourante, qui a succombé devant la juridiction précédente et possède un intérêt digne de protection à la modification de la décision attaquée, a qualité pour recourir ( art. 76 al. 1 LTF ).</w:t>
      </w:r>
    </w:p>
    <w:p>
      <w:r>
        <w:rPr>
          <w:b/>
        </w:rPr>
        <w:t>E. 2</w:t>
      </w:r>
    </w:p>
    <w:p>
      <w:r>
        <w:t>La décision relative à l'exécution d'un séquestre ( art. 275 LP ) ne porte pas sur des mesures provisionnelles au sens de l' art. 98 LTF ( ATF 137 III 193 consid. 1.2 et la jurisprudence citée), contrairement à l'ordonnance elle-même ( ATF 133 III 589 consid. 1). La partie recourante peut dès lors invoquer tous les moyens de recours prévus aux art. 95 et 96 LTF , que le Tribunal fédéral revoit avec une pleine cognition ( art. 106 al. 1 LTF ).</w:t>
      </w:r>
    </w:p>
    <w:p>
      <w:r>
        <w:t>C'est dès lors à tort que la recourante croit devoir se plaindre de la violation des droits constitutionnels, notamment de la violation " arbitraire " de l' art. 97 al. 2 LP . Cela ne tire toutefois pas à conséquence, l'application insoutenable du droit fédéral incluant l'application erronée de celui-ci (a maiore minus).</w:t>
      </w:r>
    </w:p>
    <w:p>
      <w:r>
        <w:rPr>
          <w:b/>
        </w:rPr>
        <w:t>E. 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134 II 244 consid. 2.2). Les critiques de nature appellatoire sont irrecevables ( ATF 137 II 353 consid. 5.1; 136 II 101 consid. 3 et les arrêts cités).</w:t>
      </w:r>
    </w:p>
    <w:p>
      <w:r>
        <w:rPr>
          <w:b/>
        </w:rPr>
        <w:t>E. 3.2</w:t>
      </w:r>
    </w:p>
    <w:p>
      <w:r>
        <w:t>Sous l'intitulé " II. Faits ", la recourante se plaint d'une constatation incomplète des faits. A titre d'argumentation, elle dresse la liste des " allégués fondamentaux " du créancier figurant dans les observations du 29 novembre 2016 et la requête de séquestre dont elle estime qu'ils auraient dus être retenus. Ce faisant, elle se contente toutefois de présenter son propre exposé des faits, sans indiquer ni démontrer en quoi les constatations de l'autorité cantonale seraient manifestement inexactes ou arbitraires. Elle échoue ainsi à démontrer que l'état de fait de l'arrêt attaqué devrait être complété en vertu de l' art. 105 al. 2 LTF .</w:t>
      </w:r>
    </w:p>
    <w:p>
      <w:r>
        <w:t>Au demeurant, la rectification de l'état de fait qu'elle demande vise à démontrer qu'il n'y aurait pas un rapport de solidarité passive entre E.________ et elle-même, question qu'il n'incombe toutefois pas à l'Office ni à l'autorité de surveillance de trancher. Le point de savoir si le requérant a rendu vraisemblable l'existence de la créance à l'encontre d'un débiteur déterminé ressortit en effet à la voie de l'opposition au séquestre ( ATF 142 III 291 consid. 2.1 et la jurisprudence citée).</w:t>
      </w:r>
    </w:p>
    <w:p>
      <w:r>
        <w:rPr>
          <w:b/>
        </w:rPr>
        <w:t>E. 4</w:t>
      </w:r>
    </w:p>
    <w:p>
      <w:r>
        <w:t>La recourante ayant échoué à démontrer que les faits devraient être corrigés, qui plus est sur une question qui ne relève pas de la voie de la plainte (cf. supra, consid. 3.2), le grief selon lequel " la subsomption en droit ", fondée sur la solidarité des débiteurs séquestrés, serait " en contradiction grossière " avec les faits de la cause tels que complétés tombe à faux.</w:t>
      </w:r>
    </w:p>
    <w:p>
      <w:r>
        <w:rPr>
          <w:b/>
        </w:rPr>
        <w:t>E. 5</w:t>
      </w:r>
    </w:p>
    <w:p>
      <w:r>
        <w:t>Pour autant qu'on la comprenne, la recourante soutient par ailleurs que l'ensemble de ses avoirs bancaires bénéficie de la garantie de la propriété ( art. 26 Cst. ), que toute restriction à cette garantie doit être fondée sur une base légale ( art. 36 Cst. ) et qu'en l'occurrence, " l'ordre juridique suisse ne connaît aucune base légale permettant à l'office de séquestrer plus de biens que ce qui est nécessaire pour désintéresser le créancier séquestrant ".</w:t>
      </w:r>
    </w:p>
    <w:p>
      <w:r>
        <w:t>Cette critique est vaine. L'application - sinon immédiate, du moins indirecte - des règles constitutionnelles aux relations entre les particuliers n'est pas exclue, s'agissant notamment de l'interprétation des clauses générales et des notions juridiques indéterminées du droit privé ( ATF 111 II 245 consid. 4b et les références). La reconnaissance de cet effet " horizontal " des droits fondamentaux n'empêche cependant pas que les rapports entre particuliers relèvent directement des seules lois civiles et pénales. C'est donc par celles-ci que l'individu est protégé contre les atteintes que d'autres sujets de droit privé pourraient porter à ses droits constitutionnels ( ATF 107 Ia 277 consid. 3a; cf. arrêts 5D_172/2016 du 4 avril 2017 consid. 5.2 destiné à la publication, 5A_444/2011 du 16 novembre 2011 consid. 7 et les références). La recourante ne saurait dès lors se prévaloir directement, dans une cause relevant du droit de la poursuite et de la faillite, des art. 26 et 36 Cst. De fait, elle se plaint de la violation de l' art. 97 al. 2 LP (cf. infra).</w:t>
      </w:r>
    </w:p>
    <w:p>
      <w:r>
        <w:rPr>
          <w:b/>
        </w:rPr>
        <w:t>E. 6</w:t>
      </w:r>
    </w:p>
    <w:p>
      <w:r>
        <w:t>La recourante voit dans l'exécution du séquestre à son encontre une violation de l' art. 97 al. 2 LP . Elle soutient que, lorsque le créancier obtient simultanément un double séquestre et une double garantie, l'une contre son débiteur " principal ", et l'autre contre une entité tierce, à savoir elle-même, qui n'est que le " paravent " du débiteur principal et dont il allègue la transparence, la situation économique est exactement la même que dans le cas de cumul de séquestres qui aboutissent à bloquer, pour la même créance et contre le même débiteur, plus de biens qu'il n'est nécessaire pour éteindre la créance que le séquestrant fait valoir.</w:t>
      </w:r>
    </w:p>
    <w:p>
      <w:r>
        <w:t>Ce faisant, la recourante fonde sa critique sur la prémisse selon laquelle les séquestres auraient été requis contre un débiteur principal et un tiers " paravent ", alors même qu'il a été retenu un rapport de solidarité passive entre les débiteurs séquestrés, question qui ne peut être discutée dans le cadre de la plainte (cf. supra, consid. 3 et 4). Le grief perd dès lors toute consistance.</w:t>
      </w:r>
    </w:p>
    <w:p>
      <w:r>
        <w:t>Au demeurant, un créancier a le droit de poursuivre plusieurs débiteurs solidaires en même temps et chacun pour l'entier de la créance. Cela découle de la notion de solidarité ( art. 144 CO ). De même, il peut requérir un séquestre en vue de l'exécution forcée. Toutefois, s'il veut agir contre plusieurs débiteurs solidaires, il doit obtenir un séquestre contre chacun d'eux (cf. ATF 80 III 91 ; arrêt 5A_712/2010 du 2 février 2011 consid. 3.2.1 publié in Pra 2011 96 684). La situation est ainsi fondamentalement différente de celle - dont la recourante cherche à se prévaloir - dans laquelle un créancier obtiendrait deux séquestres à l'encontre du même débiteur et pour la même créance.</w:t>
      </w:r>
    </w:p>
    <w:p>
      <w:r>
        <w:rPr>
          <w:b/>
        </w:rPr>
        <w:t>E. 7</w:t>
      </w:r>
    </w:p>
    <w:p>
      <w:r>
        <w:t>Vu ce qui précède, le recours doit être rejeté dans la faible mesure de sa recevabilité. La recourante,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