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5A_251/2012 vom 19. April 2012</w:t>
      </w:r>
    </w:p>
    <w:p>
      <w:r>
        <w:t>Bundesgericht, 2012-04-19, DE</w:t>
      </w:r>
    </w:p>
    <w:p>
      <w:r>
        <w:rPr>
          <w:b/>
        </w:rPr>
        <w:t xml:space="preserve">Quelle: </w:t>
      </w:r>
      <w:r>
        <w:t>https://mcp.opencaselaw.ch/entscheid/bger_5A_251_2012</w:t>
      </w:r>
    </w:p>
    <w:p>
      <w:r>
        <w:t>FR: TF 5A_251/2012 du 19 avril 2012</w:t>
      </w:r>
    </w:p>
    <w:p>
      <w:r>
        <w:t>IT: TF 5A_251/2012 del 19 aprile 2012</w:t>
      </w:r>
    </w:p>
    <w:p>
      <w:pPr>
        <w:pStyle w:val="Heading2"/>
      </w:pPr>
      <w:r>
        <w:t>Erwägungen</w:t>
      </w:r>
    </w:p>
    <w:p>
      <w:r>
        <w:rPr>
          <w:b/>
        </w:rPr>
        <w:t>E. 1.1</w:t>
      </w:r>
    </w:p>
    <w:p>
      <w:r>
        <w:t>Angefochten ist ein letztinstanzlicher kantonaler Endentscheid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w:t>
      </w:r>
    </w:p>
    <w:p>
      <w:r>
        <w:rPr>
          <w:b/>
        </w:rPr>
        <w:t>E. 1.2</w:t>
      </w:r>
    </w:p>
    <w:p>
      <w:r>
        <w:t>Nicht einzutreten ist auf die Beschwerde, soweit der Beschwerdeführer eine gerichtliche Beurteilung seiner "Verhaftung" verlangt. Inhaltlich richten sich seine Rügen gegen den Vollzug der Einweisungsverfügung vom 23. Januar 2012 (s. Bst. A.b). Dagegen stand ihm ein Rechtsmittel zur Verfügung, das er auch ergriffen hat. Ob der Beschwerdeführer seine Beanstandungen bereits im ersten Rechtsmittelverfahren vortrug, ergibt sich nicht aus den Akten. Auf jeden Fall begann die Rechtsmittelfrist für dieses Begehren mit der Zustellung der Verfügung vom 23. Januar 2012 zu laufen und endete 30 Tage später. Soweit sich der Beschwerdeführer im vorliegenden Verfahren gegen die Verfügung vom 1. März 2012 erneut gegen die Einweisungsverfügung zur Wehr setzt, erweisen sich seine Rügen unter allen Titeln als verspätet.</w:t>
      </w:r>
    </w:p>
    <w:p>
      <w:r>
        <w:t>Ebenfalls nicht einzutreten ist auf das Begehren um Auskunft über die Kostenfolgen der angeordneten Massnahmen, denn dieses stellt der Beschwerdeführer erstmals vor Bundesgericht; es ist neu und daher unzulässig ( Art. 99 BGG ).</w:t>
      </w:r>
    </w:p>
    <w:p>
      <w:r>
        <w:rPr>
          <w:b/>
        </w:rPr>
        <w:t>E. 1.3</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Sowohl für die Einweisung als auch für die Zurückbehaltung in einer Anstalt sind die Prinzipien der Verhältnismässigkeit und der Subsidiarität zu berücksichtigen. Vorausgesetzt ist mit anderen Worten, dass die betroffene Person infolge der im Gesetz umschriebenen Schwächezustände persönlicher Fürsorge bedarf, die ihr nur in einer Anstalt gewährt werden kann ( BGE 114 II 213 E. 5 S. 217 f.). Die Verhältnismässigkeit einer fürsorgerischen Freiheitsentziehung ist insbesondere bei einer erheblichen Selbstgefährdung gegeben, das heisst dann, wenn die betroffene Person - zum Beispiel mangels Einsicht in eine behandlungsbedürftige körperliche Krankheit oder aufgrund ihrer Suizidalität - ihre eigene Gesundheit oder ihr Leben ernstlich gefährdet (vgl. SPIRIG, Zürcher Kommentar, 1995, N 321 ff. zu Art. 397a ZGB ). Zu berücksichtigen ist ferner die Belastung, welche die Person für ihre Umgebung bedeutet ( Art. 397a Abs. 2 ZGB ). Unter diesem Gesichtspunkt ist auch einer allfälligen Fremdgefährdung Rechnung zu tragen. Eine solche liegt vor, wenn die betroffene Person zum Beispiel wegen ihres aggressiven oder gefährlichen Verhaltens eine Gefahr für Leib und Leben von Drittpersonen darstellt (vgl. Urteil 6B_786/2008 vom 12. Mai 2009 E. 2.2) oder sonst wie das Wohlbefinden und die seelische Gesundheit anderer auf erhebliche und elementare Weise beeinträchtigt (SPIRIG, a.a.O., N 350 zu Art. 397a ZGB ). Art. 397a Abs. 3 ZGB schliesslich schreibt ausdrücklich vor, dass die von der fürsorgerischen Freiheitsentziehung betroffene Person entlassen werden muss, sobald ihr Zustand es erlaubt.</w:t>
      </w:r>
    </w:p>
    <w:p>
      <w:r>
        <w:rPr>
          <w:b/>
        </w:rPr>
        <w:t>E. 3</w:t>
      </w:r>
    </w:p>
    <w:p>
      <w:r>
        <w:t>Nach den Ausführungen der Vorinstanz leidet der Beschwerdeführer an einer bipolar-affektiven Störung. Er stellt weder die tatsächlichen Feststellungen über seinen Gesundheitszustand ( BGE 81 II 263 ) noch die rechtliche Qualifikation dieses Zustandes als Geistesschwäche im Sinne von Art. 397a Abs. 1 ZGB in Frage, so dass sich weitere Ausführungen zu diesem Punkt erübrigen.</w:t>
      </w:r>
    </w:p>
    <w:p>
      <w:r>
        <w:rPr>
          <w:b/>
        </w:rPr>
        <w:t>E. 4</w:t>
      </w:r>
    </w:p>
    <w:p>
      <w:r>
        <w:t>Der Beschwerdeführer macht geltend, die Verweigerung der Entlassung aus dem fürsorgerischen Freiheitsentzug sei unverhältnismässig.</w:t>
      </w:r>
    </w:p>
    <w:p>
      <w:r>
        <w:rPr>
          <w:b/>
        </w:rPr>
        <w:t>E. 4.1</w:t>
      </w:r>
    </w:p>
    <w:p>
      <w:r>
        <w:t>Unter Hinweis auf die ärztlichen Gutachter erwog die Rekurskommission, der Beschwerdeführer sei auch noch zum jetzigen Zeitpunkt behandlungsbedürftig, wobei die Behandlung nicht durchgeführt werden könne, weil er sich gegen eine medikamentöse Behandlung kategorisch zur Wehr setze, obwohl er eingestanden habe, hypomanisch zu sein. Seine hypomanisch bedingten Auffälligkeiten hätten auf der Station kurzfristig zu einer schweren Störung des Zusammenlebens geführt. Die Gutachter befürworteten denn auch eine Entlassung des Beschwerdeführers, sobald die Wohnsituation in B.________ soweit geregelt sei, dass die krankheitsbedingten Probleme deutlich abklängen; bis zur Klärung der zukünftigen Wohnsituation und der festzulegenden Anschlussbehandlung erachteten die Gutachter die Klinik als richtigen Aufenthaltsort. Der Beschwerdeführer verfüge noch immer über keinen konkreten Lösungsansatz für seine Wohnsituation. Dieser wolle zwar weiterhin in dem von seiner Ex-Frau bewohnten Haus in B.________ arbeiten, aber nicht darin wohnen. Seine weiteren Pläne (Studium an der Universität in London, Wegzug auf die Philippinen) seien zu wenig konkret und nicht nachvollziehbar. Bei einem Kollegen könne er sodann nur vorübergehend wohnen. Von einer Lösung der Wohnsituation könne mithin keine Rede sein. Weil der Beschwerdeführer sich einer medikamentösen Behandlung verweigere, müsse im Falle einer Entlassung mit erneuten Eskalationen, insbesondere gegenüber der im selben Haus lebenden Ex-Frau gerechnet werden - die Rede ist von unsinnigen Holzbestellungen, von Katzenstreu auf dem Vorplatz und dem Auto der Mieter, von Asche auf dem Vorplatz, vom Zerbrechen der Blumentöpfe der Ex-Frau und vom Treten gegen Autotüren -, so dass er unweigerlich wieder in den Zustand geraten würde, der zu seiner Einweisung geführt habe. Dass die Familien- und Wohnsituation geklärt werden müsse, sei auch daraus ersichtlich, dass der Beschwerdeführer seiner Familie beim Familiengespräch in der Klinik nicht ohne seine Beiständin habe gegenübertreten wollen. Er stelle nach wie vor eine grosse Belastung für sein soziales Umfeld dar. Dementsprechend erscheine eine Entlassung in das noch unvorbereitete Umfeld als verfrüht. Sobald die Wohnsituation geklärt und die ambulante Nachbetreuung aufgegleist sei, könne der Beschwerdeführer jedoch entlassen werden.</w:t>
      </w:r>
    </w:p>
    <w:p>
      <w:r>
        <w:rPr>
          <w:b/>
        </w:rPr>
        <w:t>E. 4.2</w:t>
      </w:r>
    </w:p>
    <w:p>
      <w:r>
        <w:t>Die Rekurskommission stellt keine konkrete Selbstgefährdung fest. Im Ergebnis begründet sie die - vorübergehende - Verweigerung der Entlassung des Beschwerdeführers aus der fürsorgerischen Freiheitsentziehung damit, der Beschwerdeführer sei eine Belastung für sein sozialen Umfeld, namentlich für seine Ex-Frau). Weil und solange er eine medikamentöse Behandlung verweigere, sei mit einer solchen Belastung zu rechnen, falls er an seinen bisherigen Wohnort, das heisst ins Haus zurückkehre, in welchem auch seine Ex-Frau wohne.</w:t>
      </w:r>
    </w:p>
    <w:p>
      <w:r>
        <w:t>Bei Vorliegen des gesetzlich vorausgesetzten Schwächezustandes ist die Belastung des sozialen Umfeldes ein Kriterium, das bei der Anordnung einer fürsorgerischen Freiheitsentziehung und der Entlassung aus derselben berücksichtigt werden darf ( Art. 397a Abs. 2 ZGB ; vgl. SPIRIG, a.a.O., N 340 zu Art. 397a ZGB ; GEISER, Basler Kommentar, 4. Aufl. 2010, N 26 zu Art. 397a ZGB ). Die genannte Bestimmung schützt namentlich die Familie des Betroffenen, aber auch Nachbarn und Hausgenossen, mithin auch die im gleichen Haus wohnende Ex-Frau und weitere Nachbarn. Indes stellt nicht jede Belästigung auch eine Belastung im Sinne des Gesetzes dar. Vielmehr geht es um elementare Gefährdungen des Wohlbefindens und der seelischen Gesundheit (SPIRIG, a.a.O., N 350 zu Art. 397a ZGB ). Insgesamt hat die Umgebung ein hohes Mass an Belastung zu (er)tragen. Die Grenze des zu Duldenden liegt dort, wo die Belastung erheblich und letztlich - z.B. zufolge gesundheitlicher Gefährdung - unzumutbar erscheint (SPIRIG, a.a.O., N 354 zu Art. 397a ZGB ). Geringfügige Belästigungen können zufolge Wiederholung zu erheblichen werden.</w:t>
      </w:r>
    </w:p>
    <w:p>
      <w:r>
        <w:t>Die Gefährdungsmeldung der Tochter, auf welche die Rekurskommission Bezug nimmt, enthält in der Tat eine ansehnliche Liste von Vorfällen, die sich nach dem gesunden Menschenverstand ausserhalb des Üblichen und Vertretbaren bewegen. Die Kumulation dieser Ereignisse stösst hart an die Grenzen des Erträglichen. Indes ergeben sich aus dem angefochtenen Urteil keine Anhaltspunkte, weshalb die Belastung insgesamt geradezu unzumutbar sein soll.</w:t>
      </w:r>
    </w:p>
    <w:p>
      <w:r>
        <w:rPr>
          <w:b/>
        </w:rPr>
        <w:t>E. 4.3</w:t>
      </w:r>
    </w:p>
    <w:p>
      <w:r>
        <w:t>Ist aufgrund der von der Vorinstanz festgehaltenen tatsächlichen Gegebenheiten aber nicht konkret zu befürchten, dass der Beschwerdeführer bei einer Entlassung aus der Klinik sich selbst oder andere in erheblichem Mass gefährden oder für seine Umgebung eine unzumutbare Belastung darstellen würde, erscheint die Verweigerung der Entlassung in der Tat als unverhältnismässig. In diesem Punkt ist die Beschwerde begründet. Daher ist die Dispositiv-Ziffer 1 des angefochtenen Urteils aufzuheben und das Psychiatriezentrum A.________ anzuweisen, den Beschwerdeführer nicht gegen seinen Willen zurückzubehalten.</w:t>
      </w:r>
    </w:p>
    <w:p>
      <w:r>
        <w:t>Das Bundesgericht nimmt allerdings Kenntnis von den Absichtserklärungen des Beschwerdeführers, wie er sie gegenüber der Rekurskommission und in seiner Beschwerdeschrift abgegeben hat. Erwähnt seien namentlich die vom Beschwerdeführer vorgeschlagene Wiederinkraftsetzung des Vertrages mit dem Psychiatriezentrum A.________ und die Aussage, er wolle nicht mehr in B.________ wohnen. Diese Erklärungen zeigen eine gewisse Einsicht des Beschwerdeführers, und es verbleibt abzuwarten, ob sie auch in die Tat umgesetzt werden.</w:t>
      </w:r>
    </w:p>
    <w:p>
      <w:r>
        <w:rPr>
          <w:b/>
        </w:rPr>
        <w:t>E. 5</w:t>
      </w:r>
    </w:p>
    <w:p>
      <w:r>
        <w:t>Bei diesem Ausgang verliert die Gehörsrüge des Beschwerdeführers, wonach ihm der vollständige Inhalt der Gefährdungsmeldung seiner Tochter erst nach der Rekursverhandlung übergeben worden sei, an Relevanz; darauf ist nicht weiter einzugehen.</w:t>
      </w:r>
    </w:p>
    <w:p>
      <w:r>
        <w:rPr>
          <w:b/>
        </w:rPr>
        <w:t>E. 6</w:t>
      </w:r>
    </w:p>
    <w:p>
      <w:r>
        <w:t>Nach dem Gesagten obsiegt der Beschwerdeführer. Auf die Erhebung von Kosten wird verzichtet ( Art. 66 Abs. 1 BGG ). Dem Beschwerdeführer sind keine entschädigungspflichtigen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