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5A_249/2025 vom 5. Mai 2025</w:t>
      </w:r>
    </w:p>
    <w:p>
      <w:r>
        <w:t>Bundesgericht, 2025-05-05, DE</w:t>
      </w:r>
    </w:p>
    <w:p>
      <w:r>
        <w:rPr>
          <w:b/>
        </w:rPr>
        <w:t xml:space="preserve">Quelle: </w:t>
      </w:r>
      <w:r>
        <w:t>https://mcp.opencaselaw.ch/entscheid/bger_5A_249_2025</w:t>
      </w:r>
    </w:p>
    <w:p>
      <w:r>
        <w:t>FR: TF 5A_249/2025 du 5 mai 2025</w:t>
      </w:r>
    </w:p>
    <w:p>
      <w:r>
        <w:t>IT: TF 5A_249/2025 del 5 maggio 2025</w:t>
      </w:r>
    </w:p>
    <w:p>
      <w:pPr>
        <w:pStyle w:val="Heading2"/>
      </w:pPr>
      <w:r>
        <w:t>Erwägungen</w:t>
      </w:r>
    </w:p>
    <w:p>
      <w:r>
        <w:rPr>
          <w:b/>
        </w:rPr>
        <w:t>E. 1</w:t>
      </w:r>
    </w:p>
    <w:p>
      <w:r>
        <w:t>Am 8. November 2024 erklärte sich der Beschwerdeführer beim Bezirksgericht Bülach für zahlungsunfähig und beantragte die Konkurseröffnung gemäss Art. 191 SchKG . Mit Urteil vom 13. Dezember 2024 wies das Bezirksgericht das Gesuch ab.</w:t>
      </w:r>
    </w:p>
    <w:p>
      <w:r>
        <w:t>Am 10. und 17. März 2025 gelangte der Beschwerdeführer an das Bezirksgericht, das die genannten Schreiben dem Obergericht des Kantons Zürich weiterleitete. Mit Beschluss vom 28. März 2025 trat das Obergericht auf die Beschwerde infolge Verspätung nicht ein.</w:t>
      </w:r>
    </w:p>
    <w:p>
      <w:r>
        <w:t>Gegen diesen Beschluss hat der Beschwerdeführer am 2. April 2025 (Poststempel) Beschwerde an das Bundesgericht erhoben.</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auf die Erwägungen des Obergerichts ein. Stattdessen macht er geltend, er habe von seinem Arbeitgeber ein Ultimatum erhalten. Der Privatkonkurs hätte bis Ende März 2025 erledigt sein müssen. Er verstehe nicht, wo das Problem liege.</w:t>
      </w:r>
    </w:p>
    <w:p>
      <w:r>
        <w:t>Die Beschwerde enthält offensichtlich keine hinreichende Begründung. Der Abteilungspräsident tritt auf sie im vereinfachten Verfahren nicht ein (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