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5A_249/2024 vom 18. Juni 2024</w:t>
      </w:r>
    </w:p>
    <w:p>
      <w:r>
        <w:t>Bundesgericht, 2024-06-18, FR</w:t>
      </w:r>
    </w:p>
    <w:p>
      <w:r>
        <w:rPr>
          <w:b/>
        </w:rPr>
        <w:t xml:space="preserve">Quelle: </w:t>
      </w:r>
      <w:r>
        <w:t>https://mcp.opencaselaw.ch/entscheid/bger_5A_249_2024</w:t>
      </w:r>
    </w:p>
    <w:p>
      <w:r>
        <w:t>FR: TF 5A_249/2024 du 18 juin 2024</w:t>
      </w:r>
    </w:p>
    <w:p>
      <w:r>
        <w:t>IT: TF 5A_249/2024 del 18 giugno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5A_249/2024</w:t>
      </w:r>
    </w:p>
    <w:p>
      <w:r>
        <w:t>Arrêt du 18 juin 2024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Autorité de protection de l'enfant et de l'adulte des Montagnes et du Val-de-Ruz,</w:t>
      </w:r>
    </w:p>
    <w:p>
      <w:r>
        <w:t>Objet</w:t>
      </w:r>
    </w:p>
    <w:p>
      <w:r>
        <w:t>curatelle,</w:t>
      </w:r>
    </w:p>
    <w:p>
      <w:r>
        <w:t>recours contre l'arrêt de la Cour des mesures de protection de l'enfant et de l'adulte du Tribunal cantonal du canton de Neuchâtel du 14 mars 2024 (CMPEA.2024.7).</w:t>
      </w:r>
    </w:p>
    <w:p>
      <w:r>
        <w:t>Vu :</w:t>
      </w:r>
    </w:p>
    <w:p>
      <w:r>
        <w:t>la décision de l'Autorité de protection de l'enfant et de l'adulte (APEA) des Montagnes et du Val-de-Ruz du 5 février 2024 instituant en faveur de A.________ (...) une curatelle de représentation et de gestion du patrimoine (art. 394 al. 1 et 395 al. 1 CC) avec une restriction des droits civils en matière contractuelle ( art. 394 al. 2 CC );</w:t>
      </w:r>
    </w:p>
    <w:p>
      <w:r>
        <w:t>l'arrêt de la Cour des mesures de protection de l'enfant et de l'adulte du Tribunal cantonal du canton de Neuchâtel du 14 mars 2024 rejetant le recours du prénommé, "</w:t>
      </w:r>
    </w:p>
    <w:p>
      <w:r>
        <w:t>pour autant qu'il est recevable ";</w:t>
      </w:r>
    </w:p>
    <w:p>
      <w:r>
        <w:t>le recours interjeté le 17 avril 2024 au Tribunal fédéral par la personne concernée contre cet arrêt;</w:t>
      </w:r>
    </w:p>
    <w:p>
      <w:r>
        <w:t>considérant :</w:t>
      </w:r>
    </w:p>
    <w:p>
      <w:r>
        <w:t>que l'écriture du recourant est traitée comme recours en matière civile au sens de l'art. 72 al. 2 let. b ch. 6 LTF;</w:t>
      </w:r>
    </w:p>
    <w:p>
      <w:r>
        <w:t>que, en l'espèce, la cour cantonale a déclaré le recours principalement irrecevable, faute de motivation ( art. 450 al. 3 CC ), et subsidiairement mal fondé, vu les problèmes médicaux et les difficultés financières de la personne concernée "</w:t>
      </w:r>
    </w:p>
    <w:p>
      <w:r>
        <w:t>attestées par le dossier ";</w:t>
      </w:r>
    </w:p>
    <w:p>
      <w:r>
        <w:t>que le recourant ne s'en prend aucunement au motif (principal) tiré de l'irrecevabilité de son recours cantonal;</w:t>
      </w:r>
    </w:p>
    <w:p>
      <w:r>
        <w:t>que sa critique à l'encontre du motif (subsidiaire) sur le fond n'est pas davantage argumentée, dès lors que l'intéressé se contente d'affirmer qu'il est "</w:t>
      </w:r>
    </w:p>
    <w:p>
      <w:r>
        <w:t>pleinement capable de prendre des décisions rationnelles et éclairées concernant [ses]</w:t>
      </w:r>
    </w:p>
    <w:p>
      <w:r>
        <w:t>affaires personnelles et financières ";</w:t>
      </w:r>
    </w:p>
    <w:p>
      <w:r>
        <w:t>que, dépourvu de motivation conforme aux exigences légales (art. 42 al. 2 et 106 al. 2 LTF; ATF 142 III 364 consid. 2.4), le présent recours doit être déclaré irrecevable par voie de procédure simplifiée ( art 108 al. 1 let. b LTF );</w:t>
      </w:r>
    </w:p>
    <w:p>
      <w:r>
        <w:t>que, vu les circonstances de l'espèce, il se justifie de statuer sans frais judiciaires (art. 66 al. 1, 2ème phrase, LTF);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 recourant, à l'Autorité de protection de l'enfant et de l'adulte des Montagnes et du Val-de-Ruz et à la Cour des mesures de protection de l'enfant et de l'adulte du Tribunal cantonal du canton de Neuchâtel.</w:t>
      </w:r>
    </w:p>
    <w:p>
      <w:r>
        <w:t>Lausanne, le 18 juin 2024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