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5A_248/2011 vom 14. November 2011</w:t>
      </w:r>
    </w:p>
    <w:p>
      <w:r>
        <w:t>Bundesgericht, 2011-11-14, FR</w:t>
      </w:r>
    </w:p>
    <w:p>
      <w:r>
        <w:rPr>
          <w:b/>
        </w:rPr>
        <w:t xml:space="preserve">Quelle: </w:t>
      </w:r>
      <w:r>
        <w:t>https://mcp.opencaselaw.ch/entscheid/bger_5A_248_2011</w:t>
      </w:r>
    </w:p>
    <w:p>
      <w:r>
        <w:t>FR: TF 5A_248/2011 du 14 novembre 2011</w:t>
      </w:r>
    </w:p>
    <w:p>
      <w:r>
        <w:t>IT: TF 5A_248/2011 del 14 novembre 2011</w:t>
      </w:r>
    </w:p>
    <w:p>
      <w:pPr>
        <w:pStyle w:val="Heading2"/>
      </w:pPr>
      <w:r>
        <w:t>Erwägungen</w:t>
      </w:r>
    </w:p>
    <w:p>
      <w:r>
        <w:rPr>
          <w:b/>
        </w:rPr>
        <w:t>E. 1</w:t>
      </w:r>
    </w:p>
    <w:p>
      <w:r>
        <w:t>Seules les contributions d'entretien dues par le père en faveur des enfants restent litigieuses. L'arrêt entrepris est une décision finale ( art. 90 LTF ) rendue en matière civile ( art. 72 al. 1 LTF ) et prise sur recours par un tribunal supérieur statuant en dernière instance cantonale ( art. 75 al. 1 et 2 LTF ) dans une contestation pécuniaire dont la valeur litigieuse atteint 30'000 fr. (art. 51 al. 1 let. a et al. 4, 74 al. 1 let. b LTF). L'arrêt querellé a été expédié aux parties le 28 février 2011, le recours est donc déposé en temps utile ( art. 100 al. 1 LTF ). La recourante a qualité pour recourir ( art. 76 al. 1 LTF ), car elle a pris part à la procédure devant l'autorité précédente et a un intérêt digne de protection à l'annulation ou à la modification de la décision attaquée. Le recours est en principe recevable.</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1 et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105).</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135 II 145 consid. 8.1 p. 153; 133 III 393 consid. 7.1 p. 398), doit démontrer, par une argumentation précise, en quoi consiste la violation. Le Tribunal fédéral n'examine en effet la violation de l'interdiction de l'arbitraire que si ce grief a été invoqué et motivé par le recourant ( art. 106 al. 2 LTF ; ATF 135 III 127 consid. 1.6 p. 130), c'est-à-dire s'il a été expressément soulevé et exposé de façon claire et détaillée (principe d'allégation; ATF 135 III 670 consid. 1.5 p. 674; 134 II 349 consid. 3 p. 352; 133 IV 286 consid. 1.4 p. 287).</w:t>
      </w:r>
    </w:p>
    <w:p>
      <w:r>
        <w:t>De jurisprudence constante, le Tribunal fédéral se montre réservé en matière de constatation des faits et d'appréciation des preuves, vu le large pouvoir qu'il reconnaît en ce domaine aux autorités cantonales ( ATF 120 Ia 31 consid. 4b p. 40; 104 Ia 381 consid. 9 p. 399).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encore faut-il que la décision en soit viciée dans son résultat ( ATF 134 V 53 consid. 4.3 p. 62; 133 II 249 consid. 1.4.3 p. 254 s.). Aucun fait nouveau ni preuve nouvelle ne peut être présenté à moins de résulter de la décision de l'autorité précédente ( art. 99 al. 1 LTF ).</w:t>
      </w:r>
    </w:p>
    <w:p>
      <w:r>
        <w:rPr>
          <w:b/>
        </w:rPr>
        <w:t>E. 3</w:t>
      </w:r>
    </w:p>
    <w:p>
      <w:r>
        <w:t>Il ressort de l'arrêt entrepris que l'époux ne s'est ni présenté, ni fait représenter aux deux audiences auxquelles il avait été régulièrement assigné en première instance. Deux jours après l'audience de jugement, celui-ci a fait parvenir au greffe du Tribunal d'arrondissement un certificat médical attestant de divers troubles psychiatriques. Il a demandé à être momentanément dispensé d'audiences et a requis un délai supplémentaire pour déposer des pièces relatives à sa situation financière et personnelle. Il ressort notamment de ces documents, produits tardivement, que l'époux bénéficiait, à partir du mois de septembre 2008, d'un revenu d'insertion pour un montant mensuel de 2'160 fr. Selon les déclarations de l'épouse aux débats, son mari a travaillé comme enseignant dans des collèges en Suisse et au Brésil; il a aussi régulièrement dispensé des cours à des particuliers. En première instance, l'épouse a exposé que son mari était parfaitement capable de travailler au vu de son expérience professionnelle, de son âge et de sa bonne santé, précisant à cet égard qu'il n'était pas à l'AI et qu'aucune demande dans ce sens n'était pendante. Ne disposant que de peu d'informations sur la situation financière de l'époux, les pièces produites à tard ayant été écartées, les premiers juges ont retenu qu'il était capable de travailler en tant qu'enseignant, de sorte qu'un revenu de 3'000 fr. pouvait lui être imputé. Le Tribunal d'arrondissement s'est basé sur ce revenu hypothétique pour fixer la contribution d'entretien en faveur des enfants dans le jugement de divorce.</w:t>
      </w:r>
    </w:p>
    <w:p>
      <w:r>
        <w:t>En instance de recours, l'autorité cantonale a au préalable rappelé que les maximes inquisitoire et d'office s'appliquaient dans les causes touchant au sort des enfants et aux conséquences pécuniaires de celui-ci. Elle a ensuite considéré que l'autorité de première instance ne pouvait pas se fonder sur les seules déclarations de l'épouse pour imputer un revenu hypothétique à l'intimé. L'autorité cantonale a relevé que l'intimé a produit un certificat médical du 25 février 2010 attestant qu'il souffre d'un trouble schizotypique, d'un trouble de la personnalité de type dépendant ainsi que de dysthymie, de sorte qu'il ne serait pas en mesure de supporter la confrontation à des situations anxiogènes. Elle a relevé que les écritures de l'intimé dénotent un manque de stabilité psychologique. La Cour cantonale a en outre considéré que l'épouse ne pouvait pas, en procédure de recours, se limiter à affirmer que son mari était apte au travail et qu'il ne percevait pas de rente d'invalidité, sans démontrer qu'il réaliserait quelque gain que ce soit comme dépendant ou indépendant. Les juges précédents ont ainsi estimé qu'il n'était pas possible d'imputer à l'intimé un revenu hypothétique. Ils ont enfin relevé que le revenu d'insertion que l'époux perçoit depuis le mois de septembre 2008 n'est destiné qu'à couvrir son propre entretien. En conséquence, ils ont admis que son revenu ne permettait pas de fixer une contribution d'entretien en faveur des enfants.</w:t>
      </w:r>
    </w:p>
    <w:p>
      <w:r>
        <w:rPr>
          <w:b/>
        </w:rPr>
        <w:t>E. 4</w:t>
      </w:r>
    </w:p>
    <w:p>
      <w:r>
        <w:t>La recourante fait grief à la cour cantonale d'avoir violé l' art. 276 CC , en renonçant à imputer à l'intimé un revenu hypothétique sur la seule base d'un certificat médical et, partant, en supprimant toute contribution d'entretien en faveur de leurs enfants.</w:t>
      </w:r>
    </w:p>
    <w:p>
      <w:r>
        <w:rPr>
          <w:b/>
        </w:rPr>
        <w:t>E. 4.1</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compte tenu de la fortune et des revenus de l'enfant (arrêt 5A_511/2010 du 4 février 2011 consid. 2.1). En principe, les enfants doivent bénéficier du même train de vie que celui effectivement mené par leurs parents ( ATF 120 II 285 consid. 3b/bb p. 291; 116 II 110 consid. 3a p. 112-113). En vertu du droit à des conditions minimales d'existence garanti par l' art. 12 Cst. ( ATF 121 I 367 consid. 2 p. 370), l'obligation d'entretien trouve sa limite dans la capacité contributive du débirentier, en ce sens que le minimum vital de celui-ci doit être préservé ( ATF 135 III 66 consid. 2 p. 67 s.; 123 III 1 consid. 3b/bb p. 4-5 et consid. 5 in fine p. 9).</w:t>
      </w:r>
    </w:p>
    <w:p>
      <w:r>
        <w:t>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 ATF 128 III 4 consid. 4a p. 5-6; arrêts 5A_99/2011 du 26 septembre 2011 consid. 7.4.1; 5A_18/2011 du 1er juin 2011 consid. 3.1.1; 5A_290/2010 du 28 octobre 2010 consid. 3.1).</w:t>
      </w:r>
    </w:p>
    <w:p>
      <w:r>
        <w:t>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t>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 5A_724/2009 du 26 avril 2010 consid. 5.3, publié in FamPra.ch 2010 673).</w:t>
      </w:r>
    </w:p>
    <w:p>
      <w:r>
        <w:rPr>
          <w:b/>
        </w:rPr>
        <w:t>E. 4.2</w:t>
      </w:r>
    </w:p>
    <w:p>
      <w:r>
        <w:t>En l'espèce, l'autorité précédente a fait sien l'état de fait du jugement du Tribunal d'arrondissement qui retient, sur la base des allégations de l'épouse, que l'intimé a travaillé comme enseignant dans des collèges en Suisse ainsi qu'au Brésil et dispensé des cours privés. Cependant, la Chambre des recours a considéré que l'autorité de première instance ne pouvait pas se fonder sur les seules déclarations de l'épouse, qu'elle ne démontrait pas, pour imputer un revenu hypothétique à l'intimé, eu égard au certificat médical du 25 février 2010 produit par l'époux et attestant qu'il souffre de divers troubles mentaux qui le rendent incapable de supporter la confrontation à des situations anxiogènes (cf. supra consid. 3). Elle a aussi estimé que le montant perçu par l'époux grâce au revenu d'insertion ne permettait pas de fixer une contribution d'entretien en faveur des enfants.</w:t>
      </w:r>
    </w:p>
    <w:p>
      <w:r>
        <w:t>La recourante ne prétend pas que les constatations des juges précédents relatives à l'état de santé de l'intimé seraient lacunaires ou contraires aux pièces du dossier. Elle soutient que la production d'un unique certificat médical ne suffit pas à prouver l'incapacité de l'intimé à retrouver une activité lucrative. Elle affirme que les troubles psychiques attestés par ledit certificat n'empêchent pas l'intimé, par exemple, de dispenser des cours de français. Elle ajoute que les troubles dont il souffre peuvent être soignés par un traitement médical. Enfin, la recourante invoque la formation et l'expérience professionnelle de l'intimé, ainsi que les nombreuses possibilités de travailler dans le domaine de l'enseignement.</w:t>
      </w:r>
    </w:p>
    <w:p>
      <w:r>
        <w:rPr>
          <w:b/>
        </w:rPr>
        <w:t>E. 4.3</w:t>
      </w:r>
    </w:p>
    <w:p>
      <w:r>
        <w:t>En l'occurrence, l'autorité cantonale n'a pas suivi la jurisprudence relative à la détermination du revenu hypothétique (cf. supra consid. 4.1), violant ainsi le droit fédéral. Elle n'a en effet pas examiné en droit si l'on peut raisonnablement exiger de l'intimé qu'il exerce une activité lucrative, vu son âge, ses qualifications professionnelles et son état de santé. A cet égard, l'autorité précédente s'est contentée d'un certificat médical, au demeurant rédigé en vue de la dispense de comparution aux audiences. Le fait que l'époux ne puisse être confronté à des situations anxiogènes et qu'il n'ait plus exercé d'activité lucrative depuis l'automne 2008 n'est pas suffisant pour exclure d'emblée toute activité lucrative ( ATF 137 III 118 consid. 3.1 p. 121). L'absence de demande de prestation de l'assurance-invalidité constitue d'ailleurs un indice que l'intimé conserve une capacité de gain résiduelle. L'autorité cantonale n'a ainsi pas examiné, en tenant compte de l'ensemble des éléments de l'espèce, si l'intimé peut exercer une activité lucrative, ni déterminé spécifiquement le type d'activité professionnelle que l'époux peut raisonnablement devoir accomplir en vue de réaliser un revenu (arrêt 5A_894/2010 du 15 avril 2011 consid. 3.3). Cas échéant, elle devra ensuite établir si l'intimé a la possibilité effective d'exercer l'activité ainsi déterminée et quel revenu il peut en obtenir, compte tenu du marché du travail. Partant, le grief de la recourante doit être admis, l'arrêt attaqué annulé et la cause renvoyée à l'autorité cantonale pour nouvelle instruction et décision dans le sens des considérants.</w:t>
      </w:r>
    </w:p>
    <w:p>
      <w:r>
        <w:rPr>
          <w:b/>
        </w:rPr>
        <w:t>E. 5</w:t>
      </w:r>
    </w:p>
    <w:p>
      <w:r>
        <w:t>Sur le vu de ce qui précède, le recours est admis. L'arrêt attaqué est annulé et la cause est renvoyée à l'autorité cantonale pour nouvelle instruction et décision dans le sens des considérants. L'intimé, bien qu'il se soit abstenu de répondre, doit être considéré comme la partie qui succombe, de sorte qu'il supportera les frais de justice ( art. 66 al. 1 LTF ; ATF 123 V 156 consid. 3 p. 156 ss; arrêt 5A_888/2010 du 10 mars 2011 consid. 3). Celui-ci versera par ailleurs une indemnité de dépens à la recourante ( art. 68 al. 1 LTF ), dont la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