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247/2011 vom 30. Mai 2011</w:t>
      </w:r>
    </w:p>
    <w:p>
      <w:r>
        <w:t>Bundesgericht, 2011-05-30, FR</w:t>
      </w:r>
    </w:p>
    <w:p>
      <w:r>
        <w:rPr>
          <w:b/>
        </w:rPr>
        <w:t xml:space="preserve">Quelle: </w:t>
      </w:r>
      <w:r>
        <w:t>https://mcp.opencaselaw.ch/entscheid/bger_5A_247_2011</w:t>
      </w:r>
    </w:p>
    <w:p>
      <w:r>
        <w:t>FR: TF 5A 247/2011 du 30 mai 2011</w:t>
      </w:r>
    </w:p>
    <w:p>
      <w:r>
        <w:t>IT: TF 5A 247/2011 del 30 maggio 2011</w:t>
      </w:r>
    </w:p>
    <w:p>
      <w:pPr>
        <w:pStyle w:val="Heading2"/>
      </w:pPr>
      <w:r>
        <w:t>Regeste</w:t>
      </w:r>
    </w:p>
    <w:p>
      <w:r>
        <w:t>liquidation d'une faillite; cession d'une créance | Droit des poursuites et faillites</w:t>
      </w:r>
    </w:p>
    <w:p>
      <w:pPr>
        <w:pStyle w:val="Heading2"/>
      </w:pPr>
      <w:r>
        <w:t>Erwägungen</w:t>
      </w:r>
    </w:p>
    <w:p>
      <w:r>
        <w:rPr>
          <w:b/>
        </w:rPr>
        <w:t>E. 1.1</w:t>
      </w:r>
    </w:p>
    <w:p>
      <w:r>
        <w:t>Interjeté dans le délai légal ( art. 100 al. 2 let. a LTF ) par une partie qui a succombé dans ses conclusions prises devant l'autorité précédente ( art. 76 al. 1 LTF ) et dirigé contre une décision finale ( art. 90 LTF ; ATF 133 III 350 consid. 1.2 ) rendue en matière de poursuite pour dettes et de faillite ( art. 72 al. 2 let. a LTF ) par une autorité cantonale de surveillance ayant statué en dernière (unique) instance ( art. 75 al. 1 LTF /126 LOJ/GE; cf. arrêt 5A_623/2008 du 29 octobre 2008 consid. 1.3), le recours est en principe recevable, indépendamment de la valeur litigieuse ( art. 74 al. 2 let . c LTF).</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p. 246/247). Enfin, le Tribunal fédéral ne connaît de la violation de droits fondamentaux ou du droit cantonal que si ce grief a été dûment invoqué et motivé par le recourant ( art. 106 al. 2 LTF ), c'est-à-dire s'il a été expressément soulevé et exposé de manière claire et détaillée ( ATF 134 II 349 consid. 3 p. 352 et les arrêts cités).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397 consid. 1.5 p. 401) - ou en violation du droit au sens de l' art. 95 LTF ( art. 105 al. 2 LTF ). Le recourant est autorisé à attaquer des constatations de fait ainsi irrégulières si la correction du vice est susceptible d'influer sur le sort de la cause ( art. 97 al. 1 LTF ). Il ne peut toutefois pas se borner à contredire les constatations litigieuses par ses propres allégations ou par l'exposé de sa propre appréciation des preuves; il doit plutôt indiquer de façon précise en quoi ces constatations sont contraires au droit ou entachées d'une erreur indiscutable, et une critique qui ne satisfait pas à cette exigence est irrecevable ( ATF 133 II 249 consid. 1.4.3 p. 254; voir aussi ATF 136 II 489 consid. 2.8 p. 494; 130 I 258 consid. 1.3 p. 261/262).</w:t>
      </w:r>
    </w:p>
    <w:p>
      <w:r>
        <w:rPr>
          <w:b/>
        </w:rPr>
        <w:t>E. 2</w:t>
      </w:r>
    </w:p>
    <w:p>
      <w:r>
        <w:t>A l'appui de son grief d'établissement inexact des faits au sens de l' art. 97 LTF , la recourante fait valoir qu'il était arbitraire, compte tenu de la cession de créance intervenue en sa faveur, "d'insérer en les mélangeant d'anciennes causes jugées visant une autre partie". Elle prétend être en droit "d'invoquer des arguments nouveaux basés sur des pièces nouvelles dans une procédure nouvelle". Le cessionnaire d'une créance entre dans la poursuite au stade auquel le cédant l'a laissée ( ATF 103 II 75 consid. 3; 91 III 7 , p. 10). A l'instar du créancier qui produit tardivement et qui est lié par toutes les décisions antérieures de l'assemblée des créanciers, ainsi que par toutes autres mesures devenues définitives (arrêt 7B.94/2003 du 24 juin 2003 consid. 3.1), la recourante, qui n'est intervenue qu'au stade de la réalisation dans la procédure de faillite en cause, ne saurait remettre en question ce qui a été définitivement décidé et constaté au cours des phases antérieures de la même procédure. Il en va ainsi des constatations relatives à l'accord des créanciers gagistes au sens de l' art. 256 al. 2 LP et aux circulaires de l'office des 30 juin 2009 et 4 février 2010, étant rappelé que le passage du mode de liquidation sommaire à celui de liquidation ordinaire n'a pas eu d'effet rétroactif (cf. arrêt 5A_720/2010 du 14 janvier 2011 consid. 2.2 et la jurisprudence citée). Pour le surplus, le grief d'établissement inexact des faits est manifestement mal fondé. Dès lors qu'il est constant que la créancière gagiste C.________ SA a, en son temps (5 mars 2008), donné l'accord requis par la loi (cf. arrêts 5A_190/2010 du 17 juin 2010 et 5A_720/2010 du 14 janvier 2011), peu importe que, comme le soutient la recourante, le notaire requis de produire la cédule hypothécaire ait, par une ou deux lettres, fait état d'un "accord écrit nécessaire de C.________ SA". Quant à ladite requête de production, l'autorité cantonale de surveillance a fait les constatations nécessaires et suffisantes pour statuer sur le refus de l'office d'autoriser la remise de la cédule aux fins d'inscription au registre foncier, à savoir que la recourante était uniquement bénéficiaire d'un droit de gage mobilier sur celle-ci et que le notaire la détenait pour le compte de l'administration de la faillite. Les conclusions qu'elle en a tirées relèvent du droit, non du fait. Il s'ensuit que le grief doit être rejeté dans la mesure de sa recevabilité.</w:t>
      </w:r>
    </w:p>
    <w:p>
      <w:r>
        <w:rPr>
          <w:b/>
        </w:rPr>
        <w:t>E. 3</w:t>
      </w:r>
    </w:p>
    <w:p>
      <w:r>
        <w:t>Les griefs de violation du droit à la preuve et de déni de justice sont irrecevables dans la mesure où ils sont dirigés contre l'office des faillites ( art. 75 al. 1 LTF ). Ils le sont également dans la mesure où ils sont dirigés contre la décision de l'autorité cantonale de surveillance, dès lors qu'ils portent sur l'existence d'un assentiment de la créancière gagiste de 2ème rang et que la recourante se contente, sur cette question, d'opposer son point de vue à celui, définitivement confirmé, de l'autorité cantonale.</w:t>
      </w:r>
    </w:p>
    <w:p>
      <w:r>
        <w:rPr>
          <w:b/>
        </w:rPr>
        <w:t>E. 4</w:t>
      </w:r>
    </w:p>
    <w:p>
      <w:r>
        <w:t>Le grief de violation de l' art. 256 al. 2 LP est tout aussi irrecevable puisque la recourante se borne à prétendre, contrairement à une constatation de fait définitive, que la créancière gagiste de 2ème rang n'a donné aucun accord.</w:t>
      </w:r>
    </w:p>
    <w:p>
      <w:r>
        <w:rPr>
          <w:b/>
        </w:rPr>
        <w:t>E. 5</w:t>
      </w:r>
    </w:p>
    <w:p>
      <w:r>
        <w:t>Il en va de même du grief de mauvaise application de la disposition de l' art. 170 al. 1 CO relative aux effets de la cession. Il n'est en effet motivé que par la seule affirmation de l'inexistence d'un accord de la créancière gagiste de 2ème rang.</w:t>
      </w:r>
    </w:p>
    <w:p>
      <w:r>
        <w:rPr>
          <w:b/>
        </w:rPr>
        <w:t>E. 6</w:t>
      </w:r>
    </w:p>
    <w:p>
      <w:r>
        <w:t>L' art. 66 al. 2 ORF prévoit l'obligation de désigner dans un registre spécial ou au feuillet dans la rubrique "droits de gage" la personne qui se légitime comme créancière hypothécaire ou comme créancière gagiste d'une créance garantie par un gage immobilier, lorsqu'elle en fait la demande en rendant son droit vraisemblable. A ce propos, l'autorité cantonale de surveillance a constaté que la recourante était uniquement bénéficiaire d'un droit de gage mobilier, ce qui ne lui permettait pas de requérir l'inscription prévue à l' art. 66 al. 2 ORF , cette disposition visant un droit de gage immobilier. Elle était en droit de faire cette simple constatation, dès lors qu'elle était saisie d'une plainte pour violation notamment de l' art. 66 ORF . La recourante ne conteste d'ailleurs pas qu'elle est uniquement bénéficiaire d'un droit de gage mobilier. Le grief d'incompétence soulevé sur ce point est donc manifestement mal fondé.</w:t>
      </w:r>
    </w:p>
    <w:p>
      <w:r>
        <w:rPr>
          <w:b/>
        </w:rPr>
        <w:t>E. 7</w:t>
      </w:r>
    </w:p>
    <w:p>
      <w:r>
        <w:t>Il résulte de ce qui précède que le recours doit être rejeté,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