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5A_247/2009 vom 29. Mai 2009</w:t>
      </w:r>
    </w:p>
    <w:p>
      <w:r>
        <w:t>Bundesgericht, 2009-05-29, DE</w:t>
      </w:r>
    </w:p>
    <w:p>
      <w:r>
        <w:rPr>
          <w:b/>
        </w:rPr>
        <w:t xml:space="preserve">Quelle: </w:t>
      </w:r>
      <w:r>
        <w:t>https://mcp.opencaselaw.ch/entscheid/bger_5A_247_2009</w:t>
      </w:r>
    </w:p>
    <w:p>
      <w:r>
        <w:t>FR: TF 5A_247/2009 du 29 mai 2009</w:t>
      </w:r>
    </w:p>
    <w:p>
      <w:r>
        <w:t>IT: TF 5A_247/2009 del 29 maggio 2009</w:t>
      </w:r>
    </w:p>
    <w:p>
      <w:pPr>
        <w:pStyle w:val="Heading2"/>
      </w:pPr>
      <w:r>
        <w:t>Erwägungen</w:t>
      </w:r>
    </w:p>
    <w:p>
      <w:r>
        <w:rPr>
          <w:b/>
        </w:rPr>
        <w:t>E. 1</w:t>
      </w:r>
    </w:p>
    <w:p>
      <w:r>
        <w:t>Angefochten ist ein kantonal letztinstanzliches Endurteil in einer vermögensrechtlichen Zivilrechtsstreitigkeit mit Fr. 30'000.-- übersteigendem Streitwert ( Art. 72 Abs. 1, Art. 74 Abs. 1 lit. a, Art. 75 Abs. 1 und Art. 90 BGG ). Die als "staatsrechtliche Beschwerde" bezeichnete Eingabe vom 11. April 2009 kann somit als Beschwerde in Zivilsachen entgegengenommen werden.</w:t>
      </w:r>
    </w:p>
    <w:p>
      <w:r>
        <w:rPr>
          <w:b/>
        </w:rPr>
        <w:t>E. 2</w:t>
      </w:r>
    </w:p>
    <w:p>
      <w:r>
        <w:t>Beide kantonalen Instanzen haben sich die Frage gestellt, ob ein Testament oder ein Rechtsgeschäft unter Lebenden zur Diskussion stehe, aber befunden, so oder anders liege ein Formmangel vor: Handle es sich um ein Testament, gebreche es an der Erfordernis, dass das Testament eigenhändig vom Erblasser verfasst sein müsse ( Art. 505 Abs. 1 ZGB ); ebenso wenig könne ein Nottestament vorliegen, sei doch zur Zeit der Errichtung nicht die "Erblasserin", sondern der Beschwerdeführer im Spital gewesen. Handle es sich demgegenüber um eine Stiftungserrichtung unter Lebenden, so setze dies eine öffentliche Beurkundung durch einen Notar voraus ( Art. 81 Abs. 1 ZGB ).</w:t>
      </w:r>
    </w:p>
    <w:p>
      <w:r>
        <w:rPr>
          <w:b/>
        </w:rPr>
        <w:t>E. 3</w:t>
      </w:r>
    </w:p>
    <w:p>
      <w:r>
        <w:t>Was der Beschwerdeführer dagegen vorbringt (seine Frau sei voll zurechnungsfähig gewesen; sie habe ihren Willen auch gegenüber anderen Personen geäussert; sie sei einem Rechtsirrtum unterlegen), ist nicht geeignet, eine Rechtsverletzung im Sinn von Art. 95 BGG darzutun. Auch bei einer Rechtsanwendung von Amtes wegen ( Art. 106 Abs. 1 BGG ) ist solches nicht ersichtlich; vielmehr haben die kantonalen Instanzen die einschlägigen Normen (Art. 505 Abs. 1 bzw. Art. 81 Abs. 1 ZGB ) richtig angewandt. Dies gilt auch mit Bezug auf das sinngemässe Vorbringen, es liege ein Nottestament vor, da seine Ehefrau ihren Willen auch auf dem Sterbebett gegenüber Zeugen geäussert habe: Ein Nottestament setzt nicht nur die in Art. 506 Abs. 1 ZGB genannten Elemente, sondern zusätzlich auch zwingend voraus, dass ein Zeuge die mündliche Verfügung sofort in Schrift verfasst und dieses Dokument von beiden Zeugen unterschrieben ohne Verzug bei einer Gerichtsbehörde niedergelegt wird ( Art. 507 Abs. 1 ZGB ). Wenn der Beschwerdeführer schliesslich in allgemeiner Weise festhält, es gehe doch einfach darum, dass der wirklich letzte Wille der Verstorbenen respektiert werde, so sei er auch drittinstanzlich darauf hingewiesen, dass dieser Wille nur respektiert werden kann, wenn er in den vom Gesetz festgelegten Formen geäussert worden ist, was vorliegend nicht der Fall ist.</w:t>
      </w:r>
    </w:p>
    <w:p>
      <w:r>
        <w:rPr>
          <w:b/>
        </w:rPr>
        <w:t>E. 4</w:t>
      </w:r>
    </w:p>
    <w:p>
      <w:r>
        <w:t>Angesichts der klaren Rechtslage ist sodann nicht zu beanstanden, wenn die kantonalen Gerichte von der Befragung von Personen abgesehen haben, denen gegenüber D.________ ihren Willen nach der Darstellung des Beschwerdeführers geäussert haben soll. Ohnehin wären diesbezüglich auch die Rügevoraussetzungen gar nicht erfüllt: Eine antizipierte Beweiswürdigung kann einzig wegen Verletzung des Willkürverbots angefochten werden ( BGE 122 II 464 E. 4a S. 469 ; 124 I 208 E. 4a S. 211; 130 II 425 E. 2.1 S. 429). Für Willkürrügen gilt jedoch das strenge Rügeprinzip gemäss Art. 106 Abs. 2 BGG . Das heisst, dass das Bundesgericht nur klar und detailliert erhobene Rügen prüft, die soweit möglich zu belegen sind, während es auf ungenügend begründete Rügen und rein appellatorische Kritik am angefochtenen Entscheid nicht eintritt ( BGE 125 I 492 E. 1b S. 495 ; 130 I 258 E. 1.3 S. 262; 133 III 393 E. 7.1 S. 398). Diesen Anforderungen vermögen die sich auf die anbegehrte Zeugeneinvernahme beziehenden Äusserungen des Beschwerdeführers nicht zu genügen.</w:t>
      </w:r>
    </w:p>
    <w:p>
      <w:r>
        <w:rPr>
          <w:b/>
        </w:rPr>
        <w:t>E. 5</w:t>
      </w:r>
    </w:p>
    <w:p>
      <w:r>
        <w:t>Zusammenfassend ergibt sich, dass die Beschwerde abzuweisen ist, soweit auf sie eingetreten werden kann. Der Beschwerdeführer wird demnach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