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246/2018 vom 11. Juli 2018</w:t>
      </w:r>
    </w:p>
    <w:p>
      <w:r>
        <w:t>Bundesgericht, 2018-07-11, FR</w:t>
      </w:r>
    </w:p>
    <w:p>
      <w:r>
        <w:rPr>
          <w:b/>
        </w:rPr>
        <w:t xml:space="preserve">Quelle: </w:t>
      </w:r>
      <w:r>
        <w:t>https://mcp.opencaselaw.ch/entscheid/bger_5A_246_2018</w:t>
      </w:r>
    </w:p>
    <w:p>
      <w:r>
        <w:t>FR: TF 5A 246/2018 du 11 juillet 2018</w:t>
      </w:r>
    </w:p>
    <w:p>
      <w:r>
        <w:t>IT: TF 5A 246/2018 del 11 luglio 2018</w:t>
      </w:r>
    </w:p>
    <w:p>
      <w:pPr>
        <w:pStyle w:val="Heading2"/>
      </w:pPr>
      <w:r>
        <w:t>Regeste</w:t>
      </w:r>
    </w:p>
    <w:p>
      <w:r>
        <w:t>suspension de la procédure | Procédure civile</w:t>
      </w:r>
    </w:p>
    <w:p>
      <w:pPr>
        <w:pStyle w:val="Heading2"/>
      </w:pPr>
      <w:r>
        <w:t>Erwägungen</w:t>
      </w:r>
    </w:p>
    <w:p>
      <w:r>
        <w:rPr>
          <w:b/>
        </w:rPr>
        <w:t>E. 1</w:t>
      </w:r>
    </w:p>
    <w:p>
      <w:r>
        <w:t>La décision attaquée ne contient pas d'état de fait. Ne satisfaisant pas à l' art. 112 al. 1 let. b LTF , elle devrait en principe être annulée et renvoyée au juge précédent conformément à l' art. 112 al. 3 LTF . Compte tenu de la nature de l'affaire et par économie de procédure, la Cour de céans a toutefois complété d'office l'état de fait sur la base du dossier en application de l' art. 105 al. 2 LTF .</w:t>
      </w:r>
    </w:p>
    <w:p>
      <w:r>
        <w:rPr>
          <w:b/>
        </w:rPr>
        <w:t>E. 2.1</w:t>
      </w:r>
    </w:p>
    <w:p>
      <w:r>
        <w:t>La décision attaquée a été rendue par une autorité cantonale statuant en instance unique ( art. 5 al. 1 let . g CPC; arrêt 4A_180/2017 du 31 octobre 2017 consid. 1) dans une cause de droit civil ( art. 72 al. 1 LTF ; arrêts 4A_519/2014 du 8 janvier 2015 consid. 1; 4A_319/2014 du 19 novembre 2014 consid. 1 non publié aux ATF 140 III 610 ). La voie du recours en matière civile est partant ouverte, et ce, contrairement à ce que soutiennent les recourantes, indépendamment de la valeur litigieuse (art. 72 al. 1, 74 al. 2 let. b, 75 al. 1 et al. 2 let. a LTF; arrêts 4A_319/2014 précité consid. 1; 4A_260/2013 du 6 août 2013 consid. 1). Le recours constitutionnel subsidiaire est partant irrecevable ( art. 113 LTF ). Le recours a pour le surplus été interjeté en temps utile ( art. 100 al. 1 LTF ) par les parties qui ont succombé dans leurs conclusions ( art. 76 al. 1 LTF ).</w:t>
      </w:r>
    </w:p>
    <w:p>
      <w:r>
        <w:rPr>
          <w:b/>
        </w:rPr>
        <w:t>E. 2.2.1</w:t>
      </w:r>
    </w:p>
    <w:p>
      <w:r>
        <w:t>La décision entreprise n'a pas terminé l'instance en cours; cette décision est au contraire incidente aux termes de l' art. 93 al. 1 LTF . En conséquence, la recevabilité du recours suppose en principe que dite décision incidente soit de nature à causer un préjudice irréparable au sens de l' art. 93 al. 1 let. a LTF , l'hypothèse visée par l' art. 93 al. 1 let. b LTF n'entrant pas en ligne de compte. Selon la jurisprudence, une décision de suspension de la procédure peut causer un préjudice irréparable lorsque le justiciable se plaint, pour cette raison, d'un retard injustifié à statuer sur le fond constitutif d'un déni de justice formel ( ATF 143 IV 175 consid. 2.3; 138 IV 258 consid. 1.1; 138 III 190 consid. 6; 137 III 261 consid. 1.2.2; 134 IV 43 consid. 2.2). Il faut à cet égard que le grief fasse apparaître un risque sérieux de violation du principe de célérité ( ATF 143 IV 175 consid. 2.3; 138 III 190 consid. 6). Ainsi, lorsque la suspension critiquée intervient à un stade de la procédure où il apparaît évident que le principe de célérité n'est pas violé, ou lorsque le recourant ne démontre pas qu'un tel risque apparaîtra nécessairement à terme, la jurisprudence s'en tient aux exigences de l' art. 93 al. 1 let. a LTF ( ATF 143 III 416 consid. 1.4; 143 IV 175 consid. 2.3; 134 IV 43 consid. 2.5).</w:t>
      </w:r>
    </w:p>
    <w:p>
      <w:r>
        <w:rPr>
          <w:b/>
        </w:rPr>
        <w:t>E. 2.2.2</w:t>
      </w:r>
    </w:p>
    <w:p>
      <w:r>
        <w:t>En l'espèce, les recourantes soutiennent que la suspension prononcée viole le principe de la célérité puisqu'elle implique que la procédure sera suspendue pendant la durée de l'instruction de la procédure parallèle pendante devant le Tribunal des districts d'Hérens et de Conthey. Elles affirment que cette procédure pourrait potentiellement durer de nombreux mois voire des années, ce qui reporterait d'autant la reprise de la procédure en désignation d'un contrôleur spécial pourtant censée être conduite rapidement vu la procédure sommaire applicable. Elles exposent quelle sera, selon elles, la nature de l'instruction complémentaire à mener par le juge de district (nouvel échange d'écritures, puis éventuels nouveaux débats) et prédisent que l'intimée " fera flèche de tout bois, avec la dernière énergie ". Elles ajoutent que la procédure parallèle pourrait en outre être prolongée par des recours. Enfin, elles contestent l'effet préjudiciel de la décision à intervenir du Tribunal des districts d'Hérens et de Conthey s'agissant de la qualité d'actionnaires de A.________ et B.________, dès lors que cette décision n'acquerrait pas l'autorité de la chose jugée et ne lierait donc pas l'autorité précédente dans le cadre de la procédure en désignation d'un contrôleur spécial. Ces affirmations ne sont pas propres à démontrer l'existence d'une violation caractérisée du principe de célérité. En effet, le Président a suspendu la procédure immédiatement après le premier échange d'écritures. A ce stade, aucun déni de justice ne saurait lui être reproché. La suspension est prononcée non pas sine die , mais dans l'attente d'une décision dans la cause parallèle diligentée par le Juge des districts d'Hérens et de Conthey. Les simples conjectures avancées par les recourantes ne suffisent pas pour considérer que cette procédure ne pourrait pas être menée à terme dans un délai raisonnable. Leurs considérations sur l'absence d'autorité de la chose jugée de la décision du juge de district à intervenir n'y changent rien, dès lors qu'elles ne sauraient valablement remettre en cause le lien de connexité entre les deux procédures concernées et le risque de décisions contradictoires mis en avant par la décision querellée. De plus, contrairement à ce que semble soutenir les recourantes, le fait que l'affaire soit soumise à la procédure sommaire (cf. ATF 138 III 252 consid. 2.1) n'empêche nullement l'application de l' art. 126 al. 1 CPC (cf. arrêt 4A_409/2015 du 2 décembre 2015 consid. 4; décision du Tribunal cantonal de Lucerne du 2 mars 2017 (1C 17 3) consid. 4.1, in LGVE 2017 I n° 7). En conséquence, faute de violation du principe de célérité, on peut s'en tenir aux exigences de l' art. 93 al. 1 let. a LTF et il y a lieu de rechercher si la décision attaquée est susceptible de causer aux recourantes un préjudice irréparable, qu'il leur incombe de démontrer.</w:t>
      </w:r>
    </w:p>
    <w:p>
      <w:r>
        <w:rPr>
          <w:b/>
        </w:rPr>
        <w:t>E. 2.2.3</w:t>
      </w:r>
    </w:p>
    <w:p>
      <w:r>
        <w:t>A cet égard, les recourantes relèvent que tant que la procédure est pendante, respectivement tant que le contrôle spécial n'a pas abouti à un rapport permettant, le cas échéant, de prendre des mesures contre les personnes chargées de la gestion, ces dernières resteront en place. Or, le contrôle spécial serait selon elles susceptible de mettre en lumière des violations de leurs devoirs qui n'avaient pas encore été décelées. Si le Tribunal de district admettait la qualité d'actionnaires de A.________ et B.________ mais, par impossible, rejetait la requête de révocation des liquidateurs sur le fond, la suspension aurait retardé la procédure de contrôle spécial de plusieurs mois voire de plusieurs années en cas de recours, alors que celle-ci pourrait confirmer les violations de leurs devoirs par les liquidateurs ou mettre en lumière d'autres violations. Les actes de gestion " potentiellement " contraires aux intérêts de la société et des actionnaires qui pourraient être entrepris par les liquidateurs dans l'intervalle les exposaient " potentiellement " à un préjudice irréparable, notamment du fait que les actifs sont " essentiellement et abondamment " utilisés pour défendre les liquidateurs. Elles renvoient " pour le reste " au dossier de la cause, soit aux p. 11 ss de leur requête du 4 septembre 2017. Il existait ainsi un risque de préjudice irréparable indépendamment de la violation du principe de célérité. Ce faisant, les recourantes perdent de vue qu'un préjudice ne peut être qualifié d'irréparable au sens de l' art. 93 al. 1 let. a LTF que s'il cause un inconvénient de nature juridique qui ne puisse pas être réparé ultérieurement par un jugement final ou une autre décision favorable au recourant ( ATF 143 IV 175 consid. 2.3; 139 V 42 consid. 3.1; 138 III 46 consid. 1.2; 137 III 324 consid. 1.1). Un dommage économique ou de pur fait, comme la prolongation de la procédure ou un accroissement des frais de celle-ci, n'est donc pas considéré comme irréparable ( ATF 142 III 798 consid. 2.2; 137 III 380 consid. 1.2.1). C'est dire que les inconvénients matériels mis en exergue par les recourantes - qu'au demeurant aucun élément concret ne vient corroborer - sont impropres à démontrer l'existence d'un préjudice irréparable, étant pour le surplus rappelé qu'un simple renvoi aux écritures cantonales ne satisfait pas aux exigences de motivation et n'est dès lors pas admissible ( ATF 138 IV 47 consid. 2.8.1; 134 I 303 consid. 1.3). La décision attaquée ne saurait ainsi faire l'objet d'un recours immédiat auprès du Tribunal fédéral.</w:t>
      </w:r>
    </w:p>
    <w:p>
      <w:r>
        <w:rPr>
          <w:b/>
        </w:rPr>
        <w:t>E. 3</w:t>
      </w:r>
    </w:p>
    <w:p>
      <w:r>
        <w:t>En définitive, tant le recours en matière civile que le recours constitutionnel subsidiaire sont irrecevables. Les recourantes, qui succombent, supporteront les frais judiciaires ( art. 66 al. 1 LTF ) et seront condamnées au paiement d'une indemnité de dépens en faveur de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