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246/2009 vom 22. März 2010</w:t>
      </w:r>
    </w:p>
    <w:p>
      <w:r>
        <w:t>Bundesgericht, 2010-03-22, FR</w:t>
      </w:r>
    </w:p>
    <w:p>
      <w:r>
        <w:rPr>
          <w:b/>
        </w:rPr>
        <w:t xml:space="preserve">Quelle: </w:t>
      </w:r>
      <w:r>
        <w:t>https://mcp.opencaselaw.ch/entscheid/bger_5A_246_2009</w:t>
      </w:r>
    </w:p>
    <w:p>
      <w:r>
        <w:t>FR: TF 5A 246/2009 du 22 mars 2010</w:t>
      </w:r>
    </w:p>
    <w:p>
      <w:r>
        <w:t>IT: TF 5A 246/2009 del 22 marzo 2010</w:t>
      </w:r>
    </w:p>
    <w:p>
      <w:pPr>
        <w:pStyle w:val="Heading2"/>
      </w:pPr>
      <w:r>
        <w:t>Regeste</w:t>
      </w:r>
    </w:p>
    <w:p>
      <w:r>
        <w:t>mesures protectrices de l'union conjugale | Droit de la famille</w:t>
      </w:r>
    </w:p>
    <w:p>
      <w:pPr>
        <w:pStyle w:val="Heading2"/>
      </w:pPr>
      <w:r>
        <w:t>Erwägungen</w:t>
      </w:r>
    </w:p>
    <w:p>
      <w:r>
        <w:rPr>
          <w:b/>
        </w:rPr>
        <w:t>E. 1</w:t>
      </w:r>
    </w:p>
    <w:p>
      <w:r>
        <w:t>La décision de mesures protectrices de l'union conjugale ( art. 172 ss CC ) est une décision en matière civile au sens de l' art. 72 al. 1 LTF ( ATF 133 III 393 consid. 2). Elle est finale selon l' art. 90 LTF , car elle tranche définitivement, dans une procédure séparée, des questions qui ne pourront plus être revues avec l'éventuelle décision sur le divorce et les effets accessoires ( ATF 133 III 393 consid. 4). Le recours a en outre pour objet une décision rendue dans une affaire pécuniaire dont la valeur litigieuse atteint 30'000 fr. ( art. 51 al. 1 let. a et al. 4 LTF , art. 74 al. 1 let. b LTF ). Il a par ailleurs été déposé en temps utile ( art. 100 al. 1 LTF ). Le recours en matière civile est dès lors recevable au regard de ces dispositions.</w:t>
      </w:r>
    </w:p>
    <w:p>
      <w:r>
        <w:rPr>
          <w:b/>
        </w:rPr>
        <w:t>E. 1.1</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Dans le canton de Vaud, l'arrêt sur appel en matière de mesures protectrices de l'union conjugale ne peut faire l'objet d'un recours en nullité que pour les motifs prévus par l' art. 444 al. 1 ch. 1 et 2 CPC /VD ( art. 369 al. 4 CPC /VD; arrêt de la Chambre des recours du Tribunal cantonal vaudois du 15 janvier 1998, publié in JdT 1998 II 53), soit lorsque le déclinatoire aurait dû être prononcé d'office (ch. 1) et pour absence d'assignation régulière ou pour violation de l' art. 305 CPC /VD lorsque le jugement a été rendu par défaut (ch. 2). Interjeté non pour ces motifs, mais pour arbitraire ( art. 9 Cst. ), le recours est donc en principe recevable selon l' art. 75 al. 1 LTF , le Tribunal d'arrondissement s'étant prononcé en dernière instance cantonale.</w:t>
      </w:r>
    </w:p>
    <w:p>
      <w:r>
        <w:rPr>
          <w:b/>
        </w:rPr>
        <w:t>E. 1.2</w:t>
      </w:r>
    </w:p>
    <w:p>
      <w:r>
        <w:t>Les mesures protectrices de l'union conjugale sont considérées comme des mesures provisionnelles au sens de l' art. 98 LTF ( ATF 133 III 393 consid. 5, 585 consid. 3.3 et la jurisprudence citée), de sorte que seule peut être dénoncée la violation de droits constitutionnels. Le Tribunal fédéral ne connaît de la violation de droits fondamentaux que si un tel moyen est invoqué et motivé par le recourant ( art. 106 al. 2 LTF ), c'est-à-dire s'il a été expressément soulevé et exposé de manière claire et détaillée ( ATF 134 I 83 consid. 3.2 et les arrêts cités).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 130 I 258 consid. 1.3 et les arrêts cités). Il ne suffit pas qu'une solution différente apparaisse concevable, voire préférable; la décision attaquée n'étant de surcroît, annulée que si elle se révèle arbitraire, non seulement dans ses motifs, mais aussi dans son résultat ( ATF 134 I 263 consid. 3.1; 133 I 149 consid. 3.1; 132 III 209 consid. 2.1 et les arrêts cités), le Tribunal fédéral peut procéder à une substitution de motifs pour autant que la nouvelle motivation n'ait pas été réfutée expressément par l'autorité cantonale et qu'elle résiste, à son tour, au grief d'arbitraire ( ATF 128 III 4 consid. 4c/aa).</w:t>
      </w:r>
    </w:p>
    <w:p>
      <w:r>
        <w:rPr>
          <w:b/>
        </w:rPr>
        <w:t>E. 1.3</w:t>
      </w:r>
    </w:p>
    <w:p>
      <w:r>
        <w:t>Quant à l'appréciation des preuves et la constatation des faits, le Tribunal fédéral se montre réservé, vu le large pouvoir qu'il reconnaît en la matière aux autorités cantonales ( ATF 120 Ia 31 consid. 4b; 104 Ia 381 consid. 9 et les arrêts cités). Sa retenue est d'autant plus grande lorsque le juge cantonal n'examine la cause que d'une manière sommaire et provisoire ( ATF 130 III 321 consid. 3.3 et les arrêts cités).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et les références).</w:t>
      </w:r>
    </w:p>
    <w:p>
      <w:r>
        <w:rPr>
          <w:b/>
        </w:rPr>
        <w:t>E. 1.4</w:t>
      </w:r>
    </w:p>
    <w:p>
      <w:r>
        <w:t>Aucun fait nouveau ni preuve nouvelle ne peut être présenté, à moins de résulter de la décision de l'autorité précédente ( art. 99 LTF ; ATF 133 III 393 consid. 3).</w:t>
      </w:r>
    </w:p>
    <w:p>
      <w:r>
        <w:rPr>
          <w:b/>
        </w:rPr>
        <w:t>E. 2</w:t>
      </w:r>
    </w:p>
    <w:p>
      <w:r>
        <w:t>Pour statuer sur le principe et le montant de la contribution d'entretien, le Tribunal d'arrondissement a retenu que l'époux réalisait un revenu mensuel net de 9'732 fr. 47 provenant de son activité d'installateur en chauffage qu'il exerce à titre indépendant. Ses charges ont été fixées à 4'798 fr. 90. En ce qui concerne l'épouse, les juges précédents ont constaté qu'elle pouvait compter sur des ressources de 4'477 fr. 30. Quant à ses charges mensuelles, elles ont été arrêtées à 5'191 fr. 10. Se fondant sur ces chiffres, le Tribunal d'arrondissement a appliqué la méthode du minimum vital avec répartition de l'excédent à raison de 60 % pour l'épouse qui a la garde de l'enfant et de 40 % en faveur du mari. Elle a déduit des revenus cumulés des parties, soit 14'209 fr. 77 (9'732 fr. 47 + 4'477 fr. 30) leurs charges de 9'990 fr. (4'798 fr. 90 + 5'191 fr. 10), obtenant ainsi un excédent de 4'219 fr. 77. Elle a ensuite réparti ce solde à raison de 60 % (2'531 fr. 86) en faveur de l'épouse qui a la garde de l'enfant et de 40 % en faveur du mari. Estimant que l'épouse avait droit en sus de cet excédent de 2'531 fr. 86 au montant nécessaire pour couvrir ses charges, soit 713 fr. 80 (4'477 fr. 30 - 5'191 fr. 10), les juges ont confirmé la contribution de 2'700 fr. fixée en première instance au motif qu'elle n'entamait pas le minimum vital de l'époux et ne laissait pas apparaître d'iniquité en sa défaveur.</w:t>
      </w:r>
    </w:p>
    <w:p>
      <w:r>
        <w:rPr>
          <w:b/>
        </w:rPr>
        <w:t>E. 3</w:t>
      </w:r>
    </w:p>
    <w:p>
      <w:r>
        <w:t>Le recourant reproche à l'autorité précédente d'avoir versé dans l'arbitraire dans la détermination de son revenu en se fondant sur ses dépenses et non sur le bénéfice d'exploitation de son entreprise.</w:t>
      </w:r>
    </w:p>
    <w:p>
      <w:r>
        <w:rPr>
          <w:b/>
        </w:rPr>
        <w:t>E. 3.1</w:t>
      </w:r>
    </w:p>
    <w:p>
      <w:r>
        <w:t>Le revenu d'un indépendant est constitué par son bénéfice net. Pour obtenir un résultat fiable en cas de revenus fluctuants, il convient de tenir compte en général du bénéfice net moyen réalisé durant plusieurs années (arrêt 5P.342/2001 du 20 décembre 2001 consid. 3a; FRANÇOISE BASTONS BULLETTI, L'entretien après divorce, Méthodes de calcul, montant, durée et limites in : SJ 2007 p. 77 ss, 80-81 et note 19 p. 81; INGEBORG SCHWENZER, FamKomm Scheidung, 2005, n. 17 ad art. 125 CC ). Plus les fluctuations de revenus sont importantes et les données fournies par l'intéressé sont incertaines, plus la période de comparaison doit être longue (SUTTER/FREIBURGHAUS, Kommentar zum neuen Scheidungsrecht, n. 42 ad art. 125 CC ). Ce n'est que lorsque les allégations sur le montant des revenus ne sont pas vraisemblables et que les pièces produites ne sont pas convaincantes - comme par ex. lorsque les comptes de résultat manquent -, qu'il convient de se fonder sur le niveau de vie des époux durant la vie commune. Les prélèvements privés constituent alors un indice permettant de déterminer ce train de vie (cf. arrêt 2P.29/2007 du 31 mai 2007 consid. 2.4; VERENA BRÄM, Commentaire zurichois, n. 76 ad art. 163 CC ).</w:t>
      </w:r>
    </w:p>
    <w:p>
      <w:r>
        <w:rPr>
          <w:b/>
        </w:rPr>
        <w:t>E. 3.2</w:t>
      </w:r>
    </w:p>
    <w:p>
      <w:r>
        <w:t>Le Tribunal d'arrondissement s'est fondé sur un « tableau comparatif du revenu d'exploitation (salaire net), des dépenses privées et de l'évolution de la fortune » établi par la fiduciaire mandatée par le recourant pour la tenue de sa comptabilité. Sans fournir aucune explication sur les raisons concrètes qui lui faisaient douter de la fiabilité de ces chiffres, il a considéré qu'il fallait s'écarter du bénéfice d'exploitation mentionné dans le tableau pour le motif que celui-ci ne reflétait pas nécessairement la situation financière de l'exploitant. L'autorité précédente a relevé qu'en revanche, les dépenses privées constituaient une forme de revenu car elles avaient permis au recourant de s'acquitter de ses charges personnelles et quotidiennes. Pour établir le revenu de celui-ci, le Tribunal d'arrondissement a par conséquent fait la moyenne des dépenses privées des trois dernières années, aboutissant ainsi à un revenu mensuel net de 9'732 fr. 47.</w:t>
      </w:r>
    </w:p>
    <w:p>
      <w:r>
        <w:rPr>
          <w:b/>
        </w:rPr>
        <w:t>E. 3.3</w:t>
      </w:r>
    </w:p>
    <w:p>
      <w:r>
        <w:t>Ce mode de détermination du revenu est en l'occurrence arbitraire. Le Tribunal d'arrondissement s'est écarté par principe du bénéfice d'exploitation de l'entreprise, alors même qu'il n'y avait pas d'éléments indiquant que ce poste ne reflétait pas la réalité. Dans le cas particulier, il ne faut en outre pas perdre de vue que, pour les années prises en compte, les dépenses privées sur lesquelles les magistrats précédents se sont fondés étaient financées non seulement par le salaire du mari, mais également par celui de l'épouse ainsi que, pour l'année 2007, par le bénéfice réalisé sur la vente de la villa (60'240 fr.). L'ensemble de ces ressources a contribué aux dépenses privées du ménage. En tout état de cause, en l'absence d'indications concrètes établissant que les allégations et documents présentés par le recourant n'étaient pas fiables, il était arbitraire de ne pas s'en tenir au bénéfice d'exploitation. En conclusion, le recours doit être admis, l'arrêt entrepris annulé et la cause renvoyée à l'autorité cantonale pour nouvelle décision.</w:t>
      </w:r>
    </w:p>
    <w:p>
      <w:r>
        <w:rPr>
          <w:b/>
        </w:rPr>
        <w:t>E. 4</w:t>
      </w:r>
    </w:p>
    <w:p>
      <w:r>
        <w:t>Au vu du résultat du recours, l'intimée supportera les frais judiciaires ( art. 66 al. 1 LTF ) et versera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