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5A_244/2022 vom 13. April 2022</w:t>
      </w:r>
    </w:p>
    <w:p>
      <w:r>
        <w:t>Bundesgericht, 2022-04-13, DE</w:t>
      </w:r>
    </w:p>
    <w:p>
      <w:r>
        <w:rPr>
          <w:b/>
        </w:rPr>
        <w:t xml:space="preserve">Quelle: </w:t>
      </w:r>
      <w:r>
        <w:t>https://mcp.opencaselaw.ch/entscheid/bger_5A_244_2022</w:t>
      </w:r>
    </w:p>
    <w:p>
      <w:r>
        <w:t>FR: TF 5A_244/2022 du 13 avril 2022</w:t>
      </w:r>
    </w:p>
    <w:p>
      <w:r>
        <w:t>IT: TF 5A_244/2022 del 13 aprile 2022</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141 IV 249 E. 1.3.1).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Das Obergericht hat befunden, dass sich die Erteilung der provisorischen Rechtsöffnung auf die als Schuldanerkennung für Fr. 85'000.-- geltende Vereinbarung stütze und die beiden Einwände erst im Beschwerdeverfahren erhoben worden und somit unzulässig seien ( Art. 326 Abs. 1 ZPO ), im Übrigen aber ohnehin nicht verfangen würden. So sei das erste Vorbringen, es habe die mündliche Abmachung bestanden, dass die Parteien nicht gerichtlich vorgehen, sondern bei Streitigkeiten ein Mediationsverfahren einleiten würden, von der Beschwerdegegnerin bestritten und die Beschwerdeführerin könne nicht glaubhaft machen, dass eine solche Abrede bestanden habe. Das zweite Vorbringen, gemäss Architekturvertrag sei der Bauherr verantwortlich gewesen zur direkten Zahlung der Handwerker, gehe an der Sache vorbei, weil die Beschwerdeführerin sich im Anschluss gegenüber der Beschwerdegegnerin im Rahmen der Regelung der Ausstände zur Zahlung von Fr. 85'000.-- verpflichtet habe und sie nicht glaubhaft mache, dass eine frühere Vereinbarung mit einer anderen Vertragspartei etwas an der Gültigkeit der später von ihr unterzeichneten Schuldanerkennung ändern würde.</w:t>
      </w:r>
    </w:p>
    <w:p>
      <w:r>
        <w:t>Mit diesen Erwägungen setzt sich die Beschwerdeführerin nicht auseinander, sondern sie wiederholt einfach ihre unbelegten Behauptungen, es habe die mündliche Abmachung bestanden, dass die Parteien nicht gerichtlich vorgehen, sondern sich bei Streitigkeiten in einem Mediationsverfahren auseinandersetzen würden, und dass der Bauherr sich zur direkten Zahlung verpflichtet habe, weshalb die Beschwerdegegnerin die gegenseitige Vertrauensbasis missbrauche und die Vereinbarung gegen Treu und Glauben als Schulanerkennung einsetze.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