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243/2014 vom 12. Januar 2015</w:t>
      </w:r>
    </w:p>
    <w:p>
      <w:r>
        <w:t>Bundesgericht, 2015-01-12, IT</w:t>
      </w:r>
    </w:p>
    <w:p>
      <w:r>
        <w:rPr>
          <w:b/>
        </w:rPr>
        <w:t xml:space="preserve">Quelle: </w:t>
      </w:r>
      <w:r>
        <w:t>https://mcp.opencaselaw.ch/entscheid/bger_5A_243_2014</w:t>
      </w:r>
    </w:p>
    <w:p>
      <w:r>
        <w:t>FR: TF 5A 243/2014 du 12 janvier 2015</w:t>
      </w:r>
    </w:p>
    <w:p>
      <w:r>
        <w:t>IT: TF 5A 243/2014 del 12 gennaio 2015</w:t>
      </w:r>
    </w:p>
    <w:p>
      <w:pPr>
        <w:pStyle w:val="Heading2"/>
      </w:pPr>
      <w:r>
        <w:t>Regeste</w:t>
      </w:r>
    </w:p>
    <w:p>
      <w:r>
        <w:t>consegna di legati | Diritto successorio</w:t>
      </w:r>
    </w:p>
    <w:p>
      <w:pPr>
        <w:pStyle w:val="Heading2"/>
      </w:pPr>
      <w:r>
        <w:t>Erwägungen</w:t>
      </w:r>
    </w:p>
    <w:p>
      <w:r>
        <w:rPr>
          <w:b/>
        </w:rPr>
        <w:t>E. 1</w:t>
      </w:r>
    </w:p>
    <w:p>
      <w:r>
        <w:t>Il gravame è presentato tempestivamente ( art. 100 cpv. 1 LTF ) dalla parte soccombente davanti all'autorità cantonale ( art. 76 cpv. 1 LTF ) contro una decisione finale ( art. 90 LTF ) pronunciata su ricorso dall'autorità giudiziaria ticinese di ultima istanza ( art. 75 cpv. 1 e 2 LTF ) in una causa civile ( art. 72 cpv. 1 LTF ) con un valore di lite superiore al limite di fr. 30'000.-- previsto dall' art. 74 cpv. 1 lett. b LTF . Il ricorso in materia civile risulta pertanto in linea di massima ammissibile.</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rPr>
          <w:b/>
        </w:rPr>
        <w:t>E. 3</w:t>
      </w:r>
    </w:p>
    <w:p>
      <w:r>
        <w:t>Il legatario ha un'azione personale contro il debitore del legato, o se questo non è specialmente nominato, contro gli eredi legittimi od istituiti ( art. 562 cpv. 1 CC ). Non adempiendo gli eredi alla loro obbligazione, essi possono essere convenuti per la consegna degli oggetti legati o, qualora il legato consista nell'adempimento di un atto qualsiasi, per il risarcimento dei danni ( art. 562 cpv. 3 CC ). Nella fattispecie concreta la ricorrente ha promosso nei confronti degli opponenti un'azione dell' art. 562 CC volta alla consegna di oggetti (asseritamente) legati in suo favore dal de cuius mediante i testamenti olografi del 23 ottobre 1992 e dell'8 marzo 1994.</w:t>
      </w:r>
    </w:p>
    <w:p>
      <w:r>
        <w:rPr>
          <w:b/>
        </w:rPr>
        <w:t>E. 3.1</w:t>
      </w:r>
    </w:p>
    <w:p>
      <w:r>
        <w:t>È innanzitutto litigiosa la questione a sapere se la ricorrente sia beneficiaria di legati.</w:t>
      </w:r>
    </w:p>
    <w:p>
      <w:r>
        <w:rPr>
          <w:b/>
        </w:rPr>
        <w:t>E. 3.1.1</w:t>
      </w:r>
    </w:p>
    <w:p>
      <w:r>
        <w:t>In concreto il de cuius ha redatto due testamenti. Nel testamento dell'8 marzo 1994 egli non ha espressamente revocato quello del 23 ottobre 1992, come ammesso dalla stessa ricorrente. Ora, checché ne pensi quest'ultima (richiamandosi anche, a torto, al principio del favor testamenti), in tali condizioni trova applicazione la presunzione legale dell' art. 511 cpv. 1 CC , secondo la quale se il testatore fa un nuovo testamento senza revocare espressamente il primo, la disposizione posteriore revoca l'anteriore, in quanto non risulti con certezza che ne è un semplice complemento. Per rovesciare la presunzione legale è esatta la prova piena, la verosimiglianza non basta ( DTF 82 II 513 consid. 2 e 6). La prova può essere recata facendo capo anche ad elementi estrinseci alle disposizioni testamentarie ( DTF 82 II 513 consid. 2-4; 79 II 36 consid. 1). Il Tribunale d'appello ha ritenuto che la ricorrente non abbia saputo dimostrare con certezza che il testamento dell'8 marzo 1994 costituisca un complemento al testamento del 23 ottobre 1992 e non sia pertanto riuscita a sovvertire la presunzione legale dell' art. 511 cpv. 1 CC . Nel suo ricorso al Tribunale federale la ricorrente sostiene nuovamente che mediante il testamento dell'8 marzo 1994 il de cuius avrebbe inteso completare le sue precedenti volontà. Rimprovera ai Giudici cantonali di non aver tenuto conto del fatto che egli voleva infatti favorire la moglie e proteggerla dalle pretese successorie degli altri eredi aggiungendo ulteriori beni a quelli già legati in suo favore mediante il testamento del 23 ottobre 1992, e non penalizzarla peggiorandone la posizione "rispetto alla situazione che si sarebbe verificata alla sua morte se non avesse redatto questo secondo testamento". La tesi ricorsuale circa la volontà del testatore di ulteriormente favorire il coniuge superstite costituisce una mera congettura. Essa non è sorretta da alcuna prova agli atti e, contrariamente a quanto la ricorrente sembra pretendere, non può fondarsi sull'esperienza generale della vita. L'ipotesi di un'estensione dei beni legati si scontra del resto con il fatto che, nel testamento dell'8 marzo 1994, il de cuius ha nuovamente disposto della particella n. 969, già oggetto di legato nel primo testamento. Del tutto inidonea a scalfire la convincente conclusione dei Giudici cantonali secondo cui la presunzione legale dell' art. 511 cpv. 1 CC non è stata rovesciata, la censura risulta infondata.</w:t>
      </w:r>
    </w:p>
    <w:p>
      <w:r>
        <w:rPr>
          <w:b/>
        </w:rPr>
        <w:t>E. 3.1.2</w:t>
      </w:r>
    </w:p>
    <w:p>
      <w:r>
        <w:t>Atteso che il testamento del 23 ottobre 1992 è stato revocato da quello dell'8 marzo 1994, rimane da esaminare se con questo secondo documento il de cuius abbia disposto dei legati in favore della ricorrente, nel frattempo divenuta sua moglie. L'attribuzione di un oggetto della successione ad un erede vale come norma divisionale e non come legato, eccettochè una diversa intenzione non risulti dalla disposizione ( art. 608 cpv. 3 CC , v. anche art. 522 cpv. 2 CC ). La norma divisionale dà ad un erede il diritto all'attribuzione di uno o più beni della successione lasciando invariato l'ammontare delle singole quote ereditarie; l'erede in questione deve lasciarsi imputare il valore del bene attribuitogli sulla sua quota ereditaria. In caso di prelegato (vale a dire di legato costituito in favore di un erede), il beneficiario viene invece soddisfatto prioritariamente e prende inoltre parte alla rimanente successione sotto riserva di disposizioni legali imperative o di altre eventuali disposizioni testamentarie (sentenza 5C.13/1993 del 1° luglio 1993 consid. 5b con rinvio, non pubblicato in DTF 119 II 323 ). La presunzione legale dell' art. 608 cpv. 3 CC può essere rovesciata fornendo la prova del contrario. Tale prova del contrario non sottostà ad esigenze troppo severe, tuttavia la volontà di legare ad un erede un bene in aggiunta alla sua quota ereditaria deve desumersi, almeno per indizi, dal testamento medesimo ( DTF 100 II 440 consid. 7a). Secondo i Giudici cantonali, la ricorrente non è riuscita a sovvertire nemmeno la presunzione legale dell' art. 608 cpv. 3 CC . Essi hanno ritenuto che le attribuzioni contenute nel testamento dell'8 marzo 1994 non valgono quali prelegati, poiché in tale documento non vi è il benché minimo elemento suscettibile di avvalorare la tesi secondo cui il disponente intendesse lasciare alla moglie le particelle n. 969 e 57 ed un mezzo della particella n. 219 in aggiunta alla sua quota ereditaria. L'esplicito riferimento alla divisione ("nella divisione spetterà a mia moglie scegliere la parte che desidera di questo terreno") conferma anzi che quanto disposto configura unicamente una norma divisionale. Nel gravame all'esame la ricorrente tenta nuovamente di fornire la prova del contrario. L'inconsistente tesi circa l'asserita volontà del disponente di avvantaggiare il coniuge superstite (già trattata al considerando precedente), la perentoria asserzione secondo cui il termine "divisione" sarebbe riferito alla divisione in natura della particella n. 219 e non alla divisione della successione,e l'altrettanto apodittica affermazione secondo cui "tutti gli indizi, sia intrinseci che estrinseci," porterebbero a concludere che il testamento contenga dei prelegati non bastano però - alla luce dell'appena esposta giurisprudenza, ma anche delle esigenze di motivazione di cui al considerando 2.1 - a dimostrare che il de cuius non intendesse stabilire soltanto una norma divisionale. Ne discende che anche la conclusione del Tribunale d'appello secondo cui la ricorrente non è beneficiaria di legati resiste alle critiche ricorsuali.</w:t>
      </w:r>
    </w:p>
    <w:p>
      <w:r>
        <w:rPr>
          <w:b/>
        </w:rPr>
        <w:t>E. 3.2</w:t>
      </w:r>
    </w:p>
    <w:p>
      <w:r>
        <w:t>È inoltre litigiosa la qualità di eredi dei figli della sorella del de cuius, esclusa dalla successione mediante postilla del 14 novembre 1992 al testamento del 23 ottobre 1992. La ricorrente contesta infatti che all'esclusione possa applicarsi per analogia l' art. 478 cpv. 2 CC concernente la diseredazione, e ritiene che l'esclusione della sorella avrebbe comportato anche quella dei suoi discendenti. Considera che i Giudici cantonali a torto non sarebbero entrati nel merito di tale suo argomento. A parte il fatto che ci si dovrebbe dapprima chiedere se il testamento dell'8 marzo 1994 abbia revocato, oltre al testamento del 23 ottobre 1992, anche la sua postilla del 14 novembre 1992 che dispone la predetta esclusione, nelle presenti circostanze l'esame della censura risulta superfluo poiché, avendo stabilito che non vi sono legati in favore della ricorrente, non occorre determinare la posizione dei nipoti del de cuius in rapporto all'obbligo di consegnarli.</w:t>
      </w:r>
    </w:p>
    <w:p>
      <w:r>
        <w:rPr>
          <w:b/>
        </w:rPr>
        <w:t>E. 3.3</w:t>
      </w:r>
    </w:p>
    <w:p>
      <w:r>
        <w:t>Alla luce di quanto precede, la decisione del Tribunale d'appello di confermare la reiezione dell'azione dell' art. 562 CC risulta conforme al diritto federale.</w:t>
      </w:r>
    </w:p>
    <w:p>
      <w:r>
        <w:rPr>
          <w:b/>
        </w:rPr>
        <w:t>E. 4</w:t>
      </w:r>
    </w:p>
    <w:p>
      <w:r>
        <w:t>Ne discende che il ricorso va respinto nella misura in cui è ammissibile. Le spese giudiziarie seguono la soccombenza ( art. 66 cpv. 1 LTF ), mentre non occorre assegnare ripetibili agli opponenti, i quali non sono stati invitati a produrre una risposta e non sono quindi incorsi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