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5A_242/2021 vom 9. April 2021</w:t>
      </w:r>
    </w:p>
    <w:p>
      <w:r>
        <w:t>Bundesgericht, 2021-04-09, DE</w:t>
      </w:r>
    </w:p>
    <w:p>
      <w:r>
        <w:rPr>
          <w:b/>
        </w:rPr>
        <w:t xml:space="preserve">Quelle: </w:t>
      </w:r>
      <w:r>
        <w:t>https://mcp.opencaselaw.ch/entscheid/bger_5A_242_2021</w:t>
      </w:r>
    </w:p>
    <w:p>
      <w:r>
        <w:t>FR: TF 5A_242/2021 du 9 avril 2021</w:t>
      </w:r>
    </w:p>
    <w:p>
      <w:r>
        <w:t>IT: TF 5A_242/2021 del 9 aprile 2021</w:t>
      </w:r>
    </w:p>
    <w:p>
      <w:pPr>
        <w:pStyle w:val="Heading2"/>
      </w:pPr>
      <w:r>
        <w:t>Erwägungen</w:t>
      </w:r>
    </w:p>
    <w:p>
      <w:r>
        <w:rPr>
          <w:b/>
        </w:rPr>
        <w:t>E. 1</w:t>
      </w:r>
    </w:p>
    <w:p>
      <w:r>
        <w:t>Am 22. Oktober 2020 verfügte das Betreibungsamt Wildhaus-Alt St. Johann gegenüber dem Beschwerdeführer eine monatliche Rentenpfändung von Fr. 385.65.</w:t>
      </w:r>
    </w:p>
    <w:p>
      <w:r>
        <w:t>Dagegen erhob der Beschwerdeführer Beschwerde beim Kreisgericht Toggenburg. Mit Entscheid vom 21. Januar 2021 wies das Kreisgericht die Beschwerde ab.</w:t>
      </w:r>
    </w:p>
    <w:p>
      <w:r>
        <w:t>Dagegen erhob der Beschwerdeführer am 28. Januar 2021 (Poststempel) Beschwerde beim Kantonsgericht St. Gallen. Mit Zirkulationsentscheid vom 18. März 2021 trat das Kantonsgericht auf die Beschwerde nicht ein.</w:t>
      </w:r>
    </w:p>
    <w:p>
      <w:r>
        <w:t>Dagegen hat der Beschwerdeführer am 26. März 2021 Beschwerde an das Bundesgericht erhoben. Das Bundesgericht hat die Akten beigezogen.</w:t>
      </w:r>
    </w:p>
    <w:p>
      <w:r>
        <w:rPr>
          <w:b/>
        </w:rPr>
        <w:t>E. 2</w:t>
      </w:r>
    </w:p>
    <w:p>
      <w:r>
        <w:t>Der angefochtene Entscheid ist ein Nichteintretensentscheid. Thema des bundesgerichtlichen Verfahrens ist demnach einzig, ob das Kantonsgericht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Der Beschwerdeführer geht jedoch nicht auf die verschiedenen Gründe für den Nichteintretensentscheid ein (mangelnde Begründung; Unzuständigkeit der Aufsichtsbehörden zur Überprüfung des Bestands der Forderung; verspätete Vorbringen). Stattdessen bringt er vor, er und seine Frau benötigten den gepfändeten Betrag, um ein Fahrzeug zu mieten. Mit diesem Einwand hatte sich bereits das Kreisgericht befasst, welches festgehalten hat, das Auto sei im Existenzminimum mit Fr. 330.-- berücksichtigt worden. Der Beschwerdeführer legt nicht dar, inwiefern er sich mit dieser Erwägung des Kreisgerichts vor Kantonsgericht befasst hätte.</w:t>
      </w:r>
    </w:p>
    <w:p>
      <w:r>
        <w:t>Die Beschwerde enthält damit offensichtlich keine hinreichende Begründung. Auf sie ist im vereinfachten Verfahren durch das präsidierende Mitglied der Abteilung nicht einzutreten ( Art. 108 Abs. 1 lit. b BGG ).</w:t>
      </w:r>
    </w:p>
    <w:p>
      <w:r>
        <w:rPr>
          <w:b/>
        </w:rPr>
        <w:t>E. 3</w:t>
      </w:r>
    </w:p>
    <w:p>
      <w:r>
        <w:t>Es rechtfertigt sich ausnahmsweise, auf die Erhebung von Gerichtskosten zu verzichten ( Art. 66 Abs. 1 BGG ). Das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