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239/2024 vom 18. April 2024</w:t>
      </w:r>
    </w:p>
    <w:p>
      <w:r>
        <w:t>Bundesgericht, 2024-04-18, DE</w:t>
      </w:r>
    </w:p>
    <w:p>
      <w:r>
        <w:rPr>
          <w:b/>
        </w:rPr>
        <w:t xml:space="preserve">Quelle: </w:t>
      </w:r>
      <w:r>
        <w:t>https://mcp.opencaselaw.ch/entscheid/bger_5A_239_2024</w:t>
      </w:r>
    </w:p>
    <w:p>
      <w:r>
        <w:t>FR: TF 5A 239/2024 du 18 avril 2024</w:t>
      </w:r>
    </w:p>
    <w:p>
      <w:r>
        <w:t>IT: TF 5A 239/2024 del 18 aprile 2024</w:t>
      </w:r>
    </w:p>
    <w:p>
      <w:pPr>
        <w:pStyle w:val="Heading2"/>
      </w:pPr>
      <w:r>
        <w:t>Regeste</w:t>
      </w:r>
    </w:p>
    <w:p>
      <w:r>
        <w:t>Periodische Überprüfung der Nachbetreuung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eine Verfügung des Verwaltungsgerichts des Kantons Nidwalden vom 3. April 2024, mit welcher eine gegen die Weiterführung ambulanter Massnahmen erhobene Beschwerde gestützt auf Art. 75 VRG/NW zur Verbesserung zurückgewiesen worden ist. Dabei handelt es sich um einen Zwischenentscheid, der nur unter den besonderen Voraussetzungen von Art. 93 Abs. 1 BGG mit Beschwerde beim Bundesgericht angefochten werden kann (ausführlich zum nicht wieder gutzumachenden Nachteil insb. BGE 142 III 798 E. 2.2), wobei diese in der Beschwerde darzutun sind ( BGE 137 III 324 E. 1.1; 141 III 80 E. 1.2; 141 IV 289 E. 1.3). Sodann ist zu beachten, dass im Bereich des Kindes- und Erwachsenenschutzes aufgrund des zuteilenden Vorbehaltes in Art. 450f ZGB das Verfahrensrecht weitestgehend kantonal geregelt ist und das Bundesgericht kantonales Recht nicht frei, sondern nur auf Willkür hin überprüfen kann ( BGE 140 III 385 E. 2.3), was substanziierte Willkürrügen voraussetzt, für welche das strenge Rügeprinzip nach Art. 106 Abs. 2 BGG gilt.</w:t>
      </w:r>
    </w:p>
    <w:p>
      <w:r>
        <w:rPr>
          <w:b/>
        </w:rPr>
        <w:t>E. 2</w:t>
      </w:r>
    </w:p>
    <w:p>
      <w:r>
        <w:t>Die Eingabe an das Bundesgericht ist schwer leserlich und nur ansatzweise verständlich. Klar ersichtlich ist einzig, dass gegen die verwaltungsgerichtliche Verfügung eine Beschwerde erhoben werden soll (vgl. S. 1 unten). Jedoch lassen sich der Eingabe in diesem Zusammenhang weder Ausführungen zu den besonderen Anfechtungsvoraussetzungen von Art. 93 Abs. 1 BGG entnehmen noch wird explizit oder wenigstens sinngemäss eine Willkürrüge in Bezug auf die Anwendung von Art. 75 VRG/NW oder eine irgendwie geartete andere Verfassungsrüge erhoben.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