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239/2010 vom 23. Juli 2010</w:t>
      </w:r>
    </w:p>
    <w:p>
      <w:r>
        <w:t>Bundesgericht, 2010-07-23, DE</w:t>
      </w:r>
    </w:p>
    <w:p>
      <w:r>
        <w:rPr>
          <w:b/>
        </w:rPr>
        <w:t xml:space="preserve">Quelle: </w:t>
      </w:r>
      <w:r>
        <w:t>https://mcp.opencaselaw.ch/entscheid/bger_5A_239_2010</w:t>
      </w:r>
    </w:p>
    <w:p>
      <w:r>
        <w:t>FR: TF 5A 239/2010 du 23 juillet 2010</w:t>
      </w:r>
    </w:p>
    <w:p>
      <w:r>
        <w:t>IT: TF 5A 239/2010 del 23 luglio 2010</w:t>
      </w:r>
    </w:p>
    <w:p>
      <w:pPr>
        <w:pStyle w:val="Heading2"/>
      </w:pPr>
      <w:r>
        <w:t>Regeste</w:t>
      </w:r>
    </w:p>
    <w:p>
      <w:r>
        <w:t>Rechtsöffnung | Schuldbetreibungs- und Konkursrecht</w:t>
      </w:r>
    </w:p>
    <w:p>
      <w:pPr>
        <w:pStyle w:val="Heading2"/>
      </w:pPr>
      <w:r>
        <w:t>Erwägungen</w:t>
      </w:r>
    </w:p>
    <w:p>
      <w:r>
        <w:rPr>
          <w:b/>
        </w:rPr>
        <w:t>E. 1</w:t>
      </w:r>
    </w:p>
    <w:p>
      <w:r>
        <w:t>Das Bundesgericht prüft von Amtes wegen und mit freier Kognition, ob ein Rechtsmittel zulässig ist ( BGE 133 III 489 E. 3 mit Hinweis).</w:t>
      </w:r>
    </w:p>
    <w:p>
      <w:r>
        <w:rPr>
          <w:b/>
        </w:rPr>
        <w:t>E. 1.1</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Der Beschwerdeführer muss demnach angeben, welche Punkte des Entscheids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etwa weil die erforderlichen Sachverhaltsfeststellungen der Vorinstanz fehlen ( BGE 134 III 379 E. 1.3 S. 383; 133 III 489 E. 3.1 S. 489 f. mit Hinweisen).</w:t>
      </w:r>
    </w:p>
    <w:p>
      <w:r>
        <w:rPr>
          <w:b/>
        </w:rPr>
        <w:t>E. 1.2</w:t>
      </w:r>
    </w:p>
    <w:p>
      <w:r>
        <w:t>Die Beschwerdeführerin stellt ein Aufhebungs- und ein Rückweisungsbegehren, jedoch keinen materiellen Antrag. Dass das Bundesgericht nicht selber in der Lage wäre, einen materiellen Entscheid zu fällen, ergibt sich weder aus dem angefochtenen Urteil noch wird solches in der Beschwerde behauptet oder begründet. Insbesondere macht die Beschwerdeführerin nicht geltend, der Sachverhalt sei durch die Vorinstanz lückenhaft und willkürlich erhoben worden, so dass die Sache zur weiteren Abklärung an das Obergericht zurückzuweisen sei. Ebensowenig hält sie an der vor dem Obergericht erhobenen Rüge der Verletzung des rechtlichen Gehörs fest, welche allenfalls Anlass zu einer Rückweisung bilden könnte. Vielmehr dreht sich die Beschwerde einzig um die Rechtsfrage, ob in der zitierten Ziffer 4 des Eheschutzentscheides vom 12. Januar 2009 die Unterhaltsbeiträge hinreichend bestimmt sind, so dass dieser Entscheid als definitiver Rechtsöffnungstitel taugt (dazu BGE 135 III 315 ). Diese Frage könnte das Bundesgericht reformatorisch entscheiden.</w:t>
      </w:r>
    </w:p>
    <w:p>
      <w:r>
        <w:rPr>
          <w:b/>
        </w:rPr>
        <w:t>E. 1.3</w:t>
      </w:r>
    </w:p>
    <w:p>
      <w:r>
        <w:t>Demnach ergibt sich, dass die Beschwerdeführerin keinen rechtsgenüglichen Antrag gestellt hat und mithin auf ihre Beschwerde nicht eingetreten werden kann.</w:t>
      </w:r>
    </w:p>
    <w:p>
      <w:r>
        <w:rPr>
          <w:b/>
        </w:rPr>
        <w:t>E. 2</w:t>
      </w:r>
    </w:p>
    <w:p>
      <w:r>
        <w:t>Bei diesem Ausgang des Verfahrens trägt die Beschwerdeführerin die Gerichtskosten ( Art. 66 Abs. 1 BGG ). Sie hat dem Beschwerdegegner überdies eine angemessene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