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238/2015 vom 16. April 2015</w:t>
      </w:r>
    </w:p>
    <w:p>
      <w:r>
        <w:t>Bundesgericht, 2015-04-16, DE</w:t>
      </w:r>
    </w:p>
    <w:p>
      <w:r>
        <w:rPr>
          <w:b/>
        </w:rPr>
        <w:t xml:space="preserve">Quelle: </w:t>
      </w:r>
      <w:r>
        <w:t>https://mcp.opencaselaw.ch/entscheid/bger_5A_238_2015</w:t>
      </w:r>
    </w:p>
    <w:p>
      <w:r>
        <w:t>FR: TF 5A 238/2015 du 16 avril 2015</w:t>
      </w:r>
    </w:p>
    <w:p>
      <w:r>
        <w:t>IT: TF 5A 238/2015 del 16 aprile 2015</w:t>
      </w:r>
    </w:p>
    <w:p>
      <w:pPr>
        <w:pStyle w:val="Heading2"/>
      </w:pPr>
      <w:r>
        <w:t>Regeste</w:t>
      </w:r>
    </w:p>
    <w:p>
      <w:r>
        <w:t>Fürsorgerische Unterbringung | Familienrecht</w:t>
      </w:r>
    </w:p>
    <w:p>
      <w:pPr>
        <w:pStyle w:val="Heading2"/>
      </w:pPr>
      <w:r>
        <w:t>Erwägungen</w:t>
      </w:r>
    </w:p>
    <w:p>
      <w:r>
        <w:rPr>
          <w:b/>
        </w:rPr>
        <w:t>E. 1</w:t>
      </w:r>
    </w:p>
    <w:p>
      <w:r>
        <w:t>Soweit sich die Beschwerdeführerin gegen das ihr auferlegte Haus- und Telefonverbot richtet, ist darauf nicht einzutreten, bilden diese Verbote doch nicht Gegenstand des angefochtenen Entscheids.</w:t>
      </w:r>
    </w:p>
    <w:p>
      <w:r>
        <w:rPr>
          <w:b/>
        </w:rPr>
        <w:t>E. 2</w:t>
      </w:r>
    </w:p>
    <w:p>
      <w:r>
        <w:t>Nicht die von der Massnahme Betroffene, sondern deren Tochter hat beim Bundesgericht gegen die Anordnung der fürsorgerischen Unterbringung Beschwerde erhoben. Nach Art. 450 Abs. 2 Ziff. 2 ZGB ist sie als nahestehende Person der Betroffenen berechtigt, als Partei gegen die Anordnung der fürsorgerischen Unterbringung Beschwerde zu führen (zur nahestehenden Person: Urteil 5A_663/2013 vom 5. November 2013 E. 3 und E. 1.3). Dass die Beschwerdeführerin im kantonalen Verfahren als Partei aufgetreten ist, reicht jedoch nicht aus, um sie als zur Beschwerde in Zivilsachen legitimiert zu betrachten. Nach Art. 76 Abs. 1 BGG , der die Beschwerdelegitimation vor Bundesgericht ausschliesslich regelt (Urteil 5A_857/2010 vom 12. Januar 2011 E. 1.3), setzt die Legitimation zur Beschwerde nämlich die Teilnahme bzw. die Unmöglichkeit zur Teilnahme am Verfahren (lit. a) und kumulativ dazu namentlich ein schutzwürdiges Interesse an der Aufhebung oder Änderung des angefochtenen Entscheids (lit. b) voraus. Mit der Beschwerde geht es sodann nicht darum, Interessen Dritter geltend zu machen. Vorausgesetzt wird vielmehr grundsätzlich ein eigenes schutzwürdiges Interesse der beschwerdeführenden Person ( BERNARD CORBOZ, Commentaire de la LTF, 2. Aufl. 2014, N. 22 ff. zu Art. 76 BGG ; YVES DONZALLAZ, Loi sur le tribunal fédéral, Commentaire, 2008, N. 2366 zu Art. 76 BGG ; vgl. auch KATHRIN KLETT, Basler Kommentar, Bundesgerichtsgesetz, 2. Aufl. 2011, N. 4 zu Art. 76 BGG ; zur gleichlautenden Regelung unter dem alten Recht: Urteil 5A_857/2010 vom 12. Januar 2011 E. 1.3). Ausgenommen sind Fälle der sog. Prozessstandschaft (vgl. z.B. BGE 135 I 63 E. 1.1.2; zum Ganzen auch KLETT, a.a.O., N. 4 zu Art. 76 BGG ). Entsprechende Ausnahmen liegen hier indes nicht vor. Soweit sich die Beschwerdeführerin gegen die ihre Tochter betreffende fürsorgerische Unterbringung ( Art. 426 Abs. 1 ZGB ) richtet, verfolgt sie kein eigenes schutzwürdiges Interesse und ist somit insoweit auch nicht zur Beschwerde legitimiert. In der Sache ist auf die Beschwerde nicht einzutreten.</w:t>
      </w:r>
    </w:p>
    <w:p>
      <w:r>
        <w:rPr>
          <w:b/>
        </w:rPr>
        <w:t>E. 3</w:t>
      </w:r>
    </w:p>
    <w:p>
      <w:r>
        <w:t>Damit ist auf die Beschwerde insgesamt nicht einzutreten. Bei diesem Ausgang des Verfahrens wird die Beschwerdeführerin kostenpflichtig ( Art. 66 Abs. 1 BGG ). Sie hat jedoch die kantonalen Instanzen für das bundesgerichtliche Verfahren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