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237/2019 vom 9. Mai 2019</w:t>
      </w:r>
    </w:p>
    <w:p>
      <w:r>
        <w:t>Bundesgericht, 2019-05-09, DE</w:t>
      </w:r>
    </w:p>
    <w:p>
      <w:r>
        <w:rPr>
          <w:b/>
        </w:rPr>
        <w:t xml:space="preserve">Quelle: </w:t>
      </w:r>
      <w:r>
        <w:t>https://mcp.opencaselaw.ch/entscheid/bger_5A_237_2019</w:t>
      </w:r>
    </w:p>
    <w:p>
      <w:r>
        <w:t>FR: TF 5A 237/2019 du 9 mai 2019</w:t>
      </w:r>
    </w:p>
    <w:p>
      <w:r>
        <w:t>IT: TF 5A 237/2019 del 9 maggio 2019</w:t>
      </w:r>
    </w:p>
    <w:p>
      <w:pPr>
        <w:pStyle w:val="Heading2"/>
      </w:pPr>
      <w:r>
        <w:t>Regeste</w:t>
      </w:r>
    </w:p>
    <w:p>
      <w:r>
        <w:t>Vorsorgliche Massnahmen (Ehescheidung) | Familienrecht</w:t>
      </w:r>
    </w:p>
    <w:p>
      <w:pPr>
        <w:pStyle w:val="Heading2"/>
      </w:pPr>
      <w:r>
        <w:t>Erwägungen</w:t>
      </w:r>
    </w:p>
    <w:p>
      <w:r>
        <w:rPr>
          <w:b/>
        </w:rPr>
        <w:t>E. 1.1</w:t>
      </w:r>
    </w:p>
    <w:p>
      <w:r>
        <w:t>Fristgerecht ( Art. 100 Abs. 1 BGG ) angefochten ist der Entscheid einer letzten kantonalen Instanz, die als oberes Gericht ( Art. 75 BGG ) über vorsorgliche Massnahmen (Unterhaltspflicht) während des Verfahrens auf Regelung der Nebenfolgen einer Ehescheidung entschieden hat (vgl. dazu BGE 144 III 368 E. 3.1). Der Streitwert dieser vermögensrechtlichen Zivilsache ( Art. 72 Abs. 1 BGG ) übersteigt Fr. 30'000.-- (Art. 74 Abs. 1 Bst. b, Art. 51 Abs. 1 und 4 BGG ). Die Beschwerdeführerin hat am vorinstanzlichen Verfahren teilgenommen, ist durch den angefochtenen Entscheid besonders berührt und hat ein schutzwürdiges Interesse an dessen Änderung ( Art. 76 Abs. 1 BGG ).</w:t>
      </w:r>
    </w:p>
    <w:p>
      <w:r>
        <w:rPr>
          <w:b/>
        </w:rPr>
        <w:t>E. 1.2</w:t>
      </w:r>
    </w:p>
    <w:p>
      <w:r>
        <w:t>Mit der Beschwerde gegen Entscheide über vorsorgliche Massnahmen kann gemäss Art. 98 BGG nur die Verletzung verfassungsmässiger Rechte gerügt werden. Auch eine Berichtigung oder Ergänzung der Sachverhaltsfeststellungen der Vorinstanz kommt nur infrage, wenn diese verfassungsmässige Rechte verletzt hat (vgl. BGE 133 III 585 E. 4.1).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demnach nur klar und detailliert erhobene und soweit möglich belegte Rügen. Auf ungenügend begründete Rügen und rein appellatorische Kritik am angefochtenen Entscheid tritt es nicht ein ( BGE 141 I 36 E. 1.3; 140 III 264 E. 2.3). Wird eine Verletzung des Willkürverbots nach Art. 9 BV geltend gemacht (vgl. zu diesem BGE 142 II 433 E. 4.4; 140 III 167 E. 2.1),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2.1</w:t>
      </w:r>
    </w:p>
    <w:p>
      <w:r>
        <w:t>Zum Gegenstand des vorliegenden Verfahrens führt das Obergericht aus, es stehe einzig die vorsorgliche Zusprechung von nachehelichem Unterhalt ab dem Zeitpunkt der Rechtskraft des Scheidungsurteils am 21. Februar 2014 infrage. Die Beschwerdeführerin bringt demgegenüber vor, das Bundesgericht habe im ersten Verfahren zwar Entsprechendes festgehalten. Dabei habe es aber offensichtlich übersehen, dass sie primär eine Scheidungsklage mit vorsorglichen Massnahmen eingereicht und rückwirkend (auch ehelichen) Unterhalt ab dem 17. November 2012 beantragt habe. Das tschechische Scheidungsurteil habe lediglich die Scheidung ausgesprochen, ohne deren Nebenfolgen zu regeln oder sich zum Unterhalt vor Rechtskraft der Scheidung zu äussern. Es verletze verfassungsmässige Rechte, wenn ihr nunmehr der Anspruch auf Unterhalt vor der Scheidung abgesprochen werde, zumal dieser zufolge Verjährung auch nicht nachträglich in der Tschechischen Republik geltend gemacht werden könne. Die Beschwerdeführerin missachtet, dass nicht nur das Obergericht und die Parteien, sondern auch das Bundesgericht durch die rechtliche Beurteilung gebunden ist, mit der die Rückweisung begründet wurde (vgl. BGE 143 IV 214 E. 5.3.3; 135 III 334 E. 2 [einleitend] und E. 2.1). Gegenstand des aktuellen Beschwerdeverfahrens sind damit ausschliesslich vorsorgliche Massnahmen zu den Scheidungsnebenfolgen, mithin zum nachehelichen Unterhalt ( BGE 144 III 368 E. 3.1).</w:t>
      </w:r>
    </w:p>
    <w:p>
      <w:r>
        <w:rPr>
          <w:b/>
        </w:rPr>
        <w:t>E. 2.2</w:t>
      </w:r>
    </w:p>
    <w:p>
      <w:r>
        <w:t>Mit Blick auf diese vorsorglichen Unterhaltsbeiträge wirft die Beschwerdeführerin dem Obergericht vor, namentlich im Zusammenhang mit der Verfahrensführung sowie bei der Feststellung und Anwendung des massgebenden tschechischen Rechts insbesondere gegen das Rechtsgleichheitsgebot ( Art. 8 BV ), das Willkürverbot sowie diverse Verfahrensgarantien ( Art. 6 EMRK ; Art. 29 und 29a BV ) verstossen zu haben. Hierbei begnügt sie sich allerdings weitestgehend damit, ihre eigene Sicht der Dinge darzulegen und die abweichenden Überlegungen des Obergerichts als willkürlich oder sonstwie verfassungswidrig zu bezeichnen. Sie unterlässt es, in Auseinandersetzung mit dem angefochtenen Entscheid und den darin enthaltenen Darlegungen des Obergerichts aufzuzeigen, weshalb dieses im Einzelnen gegen die Verfassung verstossen haben soll. Im Zusammenhang mit der Feststellung und Anwendung des tschechischen Rechts ist die Beschwerdeführerin sodann daran zu erinnern, dass die Begründung in der Beschwerde selbst enthalten sein muss und ein Verweis auf frühere Eingaben nicht ausreicht ( BGE 143 II 283 E. 1.2.3; 138 III 252 E. 3.2). Die zahlreichen Hinweise auf frühere Schriftsätze bleiben daher unbeachtlich. Auf die Beschwerde ist insoweit nicht einzutreten.</w:t>
      </w:r>
    </w:p>
    <w:p>
      <w:r>
        <w:rPr>
          <w:b/>
        </w:rPr>
        <w:t>E. 2.3</w:t>
      </w:r>
    </w:p>
    <w:p>
      <w:r>
        <w:t>Verschiedentlich macht die Beschwerdeführerin geltend, das Obergericht habe sich widersprüchlich verhalten und sei in Willkür verfallen, weil es im angefochtenen Entscheid von seiner im Entscheid vom 18. Mai 2017 vertretenen Haltung abgewichen sei. Sie verkennt, dass das Obergericht aufgrund des Rückweisungsentscheids vom 24. Mai 2018 gehalten war, eine neue Würdigung der Sachlage vorzunehmen (allgemein zur Bindungswirkung von Rückweisungsentscheiden vgl. die Hinweise in E. 2.1 hiervor). Der Umstand, dass das Obergericht gewisse Punkte neu beurteilte und würdigte, vermag daher für sich allein keine Willkür zu begründen, auch wenn dies zum Nachteil der Beschwerdeführerin geschah. Letztere hätte im Einzelnen darlegen müssen, weshalb das Obergericht unter Berücksichtigung der neuen Ausgangslage noch an seine ursprüngliche Auffassung gebunden und ein Abweichen von derselben unhaltbar war. Dies unterlässt sie. Offensichtlich keine Willkür aufzuzeigen vermag sodann das Vorbringen, das Obergericht sei von den Erwägungen der Erstinstanz abgewichen. Unbegründet ist auch die verschiedentlich erhobene Rüge, der angefochtene Entschied sei in sich widersprüchlich. In diesem Zusammenhang macht die Beschwerdeführerin geltend, das Obergericht habe die Leistungsfähigkeit des Beschwerdegegners nicht berücksichtigt, obgleich es andernorts ausgeführt habe, diese sei entscheidend. Die Überlegungen der Beschwerdeführerin basieren auf einer unvollständigen Lektüre des angefochtenen Entscheids: Nach Darstellung der Vorinstanz kann die Leistungsfähigkeit des Beschwerdegegners gemäss den einschlägigen Rechtsnormen für die Unterhaltsfrage massgebend sein, wobei dies davon abhängt, wie sich die Höhe des Bedarfs der Beschwerdeführerin und deren finanziellen Situation bzw. Eigenversorgungskapazität präsentieren. Später kommt das Obergericht zum Schluss, aufgrund der guten finanziellen Lage der Beschwerdeführerin bzw. weil diese keinen schwerwiegenden Nachteil glaubhaft zu machen vermöge, komme es auf die Leistungsfähigkeit des Beschwerdegegners nicht an. Ein Widerspruch ist hier nicht auszumachen. Sodann vermag die Beschwerdeführerin im Zusammenhang mit dem sog. Sanktionsunterhalt nach tschechischem Recht keine "widersprüchliche Argumentationskette" aufzuzeigen. Sie unterschlägt in ihren Ausführungen, dass das Obergericht nachvollziehbar darlegt, weshalb es der Beschwerdeführerin nicht gelingt, einen schwerwiegenden Nachteil glaubhaft zu machen, und dass deshalb kein Unterhalt geschuldet ist.</w:t>
      </w:r>
    </w:p>
    <w:p>
      <w:r>
        <w:rPr>
          <w:b/>
        </w:rPr>
        <w:t>E. 3</w:t>
      </w:r>
    </w:p>
    <w:p>
      <w:r>
        <w:t>Strittig sind weiter die der Beschwerdeführerin im kantonalen Verfahren auferlegten Prozesskosten. Dreht sich der Streit vor Bundesgericht um Geld, sind die Begehren (vgl. Art. 42 Abs. 1 BGG ) zu beziffern. Dies gilt auch, wenn die Kosten des kantonalen Verfahrens umstritten sind ( BGE 143 III 111 E. 1.2; 134 III 235 E. 2; zum hier nicht gegebenen Ausnahmefall vgl. BGE 134 III 379 E. 1.3). Die Beschwerdeführerin beantragt, es seien die Kosten- und Entschädigungsfolgen für die Verfahren bei der Vorinstanz sowie der Erstinstanz neu zu beurteilen (vgl. vorne Bst. C). Zur Begründung führt sie aus, es sei willkürlich und verstosse gegen verschiedene Verfahrensgarantien, dass das Obergericht bei der Kostenberechnung eine Reduktion ihrer Rechtsbegehren nicht berücksichtigt habe. Damit stellt sie keine bezifferten Begehren und auch der Beschwerdebegründung - diese ist für die Auslegung der Rechtsbegehren beizuziehen ( BGE 137 II 313 E. 1.3; 137 III 617 E. 6.2) - lässt sich nicht entnehmen, was die Beschwerdeführerin im Einzelnen erreichen möchte. Namentlich bleibt unklar, welche Parteientschädigung ihr zugesprochen werden soll. Auf die Beschwerde ist insoweit folglich nicht einzutreten.</w:t>
      </w:r>
    </w:p>
    <w:p>
      <w:r>
        <w:rPr>
          <w:b/>
        </w:rPr>
        <w:t>E. 4</w:t>
      </w:r>
    </w:p>
    <w:p>
      <w:r>
        <w:t>Nach dem Ausgeführten erweist sich die Beschwerde als unbegründet und ist sie abzuweisen, soweit auf sie eingetreten werden kann. Unter diesen Umständen erübrigt es sich, vom Beschwerdegegner eine Vernehmlassung einzuholen, weshalb der entsprechende Antrag abgewiesen wird. Bei diesem Ausgang des Verfahrens sind die Gerichtskosten (inkl. die Kosten des Verfahrens betreffend aufschiebende Wirkung) der Beschwerdeführerin aufzuerlegen ( Art. 66 Abs. 1 BGG ). Dem Beschwerdegegner sind in der Hauptsache mangels Einholens einer Vernehmlassung keine entschädigungspflichtigen Kosten entstanden. Im Gesuchsverfahren betreffend aufschiebende Wirkung ist er teilweise unterlegen, womit ihm praxisgemäss auch insoweit keine Entschädigung zusteht. Damit ist keine Parteientschädigung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