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5A_235/2017 vom 14. August 2017</w:t>
      </w:r>
    </w:p>
    <w:p>
      <w:r>
        <w:t>Bundesgericht, 2017-08-14, DE</w:t>
      </w:r>
    </w:p>
    <w:p>
      <w:r>
        <w:rPr>
          <w:b/>
        </w:rPr>
        <w:t xml:space="preserve">Quelle: </w:t>
      </w:r>
      <w:r>
        <w:t>https://mcp.opencaselaw.ch/entscheid/bger_5A_235_2017</w:t>
      </w:r>
    </w:p>
    <w:p>
      <w:r>
        <w:t>FR: TF 5A_235/2017 du 14 août 2017</w:t>
      </w:r>
    </w:p>
    <w:p>
      <w:r>
        <w:t>IT: TF 5A_235/2017 del 14 agosto 2017</w:t>
      </w:r>
    </w:p>
    <w:p>
      <w:pPr>
        <w:pStyle w:val="Heading2"/>
      </w:pPr>
      <w:r>
        <w:t>Erwägungen</w:t>
      </w:r>
    </w:p>
    <w:p>
      <w:r>
        <w:rPr>
          <w:b/>
        </w:rPr>
        <w:t>E. 1.1</w:t>
      </w:r>
    </w:p>
    <w:p>
      <w:r>
        <w:t>Das angefochtene Urteil betrifft die definitive Eintragung eines Bauhandwerkerpfandrechts und damit eine Zivilsache ( Art. 72 Abs. 1 BGG ) in einer vermögensrechtlichen Angelegenheit.</w:t>
      </w:r>
    </w:p>
    <w:p>
      <w:r>
        <w:rPr>
          <w:b/>
        </w:rPr>
        <w:t>E. 1.2</w:t>
      </w:r>
    </w:p>
    <w:p>
      <w:r>
        <w:t>Die Beschwerdeführer behaupten, der Streitwert übersteige Fr. 30'000.--. Sie verweisen dabei auf das berichtigte Urteil vom 23. Februar 2017, in dessen Rahmen das Obergericht den Streitwert als Fr. 30'000.-- übersteigend bezeichnet. Im Urteil vom 16. Februar 2017 hatte das Obergericht einen Streitwert von weniger als Fr. 30'000.-- angegeben. Bei Beschwerden gegen Endentscheide bestimmt sich der Streitwert nach den Begehren, die vor der Vorinstanz streitig geblieben waren ( Art. 51 Abs. 1 lit. a BBG ); Zinsen, Früchte, Gerichtskosten und Parteientschädigungen fallen bei der Bestimmung des Streitwertes nicht in Betracht ( Art. 51 Abs. 3 BGG ). Streitig war in erster Linie die definitive Eintragung eines Bauhandwerkerpfandrechts mit einer Pfandsumme von Fr. 22'000.--, die hier im Grundsatz für die Bestimmung des Streitwertes massgebend ist ( BGE 106 II 22 E. 1). Erst vor Obergericht haben die Beschwerdeführer Begehren gestellt, die als Widerklage qualifiziert werden könnten. Da das Obergericht von vornherein nicht auf diese Widerklagebegehren eingetreten ist, scheint fraglich, ob diese streitwertrelevant sind (vgl. Urteil 5A_765/2008 vom 29. Juni 2009 E. 1.2.1). Diese Frage braucht indessen nicht abschliessend beantwortet zu werden, denn der Streitwert der Widerklagebegehren beträgt maximal Fr. 26'602.--. Der Betrag einer Widerklage wird nicht mit demjenigen der Hauptklage zusammengerechnet ( Art. 53 Abs. 1 BGG ). Massgebend wäre gegebenenfalls der höhere Betrag der Widerklage (vgl. Art. 53 Abs. 2 BGG ). Dieser erreicht den für das bundesgerichtliche Verfahren massgeblichen Streitwert von Fr. 30'000.-- jedoch auch nicht ( Art. 74 Abs. 1 lit. b BGG ). Daran vermag die unrichtige Angabe des Streitwertes im Berichtigungsurteil nichts zu ändern. Wohl darf einer Partei wegen einer unrichtigen Rechtsmittelbelehrung kein Nachteil erwachsen ( Art. 49 BGG ). Indes vermag eine falsche Rechtsmittelbelehrung in keinem Fall eine Rechtsmittelmöglichkeit zu schaffen, die es gemäss dem Gesetz nicht gibt ( BGE 135 III 470 E. 1.2; 129 IV 197 E. 1.5).</w:t>
      </w:r>
    </w:p>
    <w:p>
      <w:r>
        <w:rPr>
          <w:b/>
        </w:rPr>
        <w:t>E. 1.3</w:t>
      </w:r>
    </w:p>
    <w:p>
      <w:r>
        <w:t>Dass sich eine Rechtsfrage von grundsätzlicher Bedeutung stellt ( Art. 74 Abs. 2 lit. a BGG ), behaupten die Beschwerdeführer naturgemäss nicht ( Art. 42 Abs. 2 BGG ). Ein anderer Ausnahmetatbestand ( Art. 74 Abs. 2 BGG ) liegt nicht vor, so dass die Beschwerde in Zivilsachen ausscheidet und die Eingabe als subsidiäre Verfassungsbeschwerde ( Art. 113 BGG ) entgegenzunehmen ist. Das angefochtene Urteil ist kantonal letzt- und oberinstanzlich ( Art. 114 BGG ), lautet zum Nachteil der Beschwerdeführer ( Art. 115 BGG ) und schliesst das kantonale Verfahren ab (Art. 90 i.V.m. Art. 117 BGG ).</w:t>
      </w:r>
    </w:p>
    <w:p>
      <w:r>
        <w:rPr>
          <w:b/>
        </w:rPr>
        <w:t>E. 1.4</w:t>
      </w:r>
    </w:p>
    <w:p>
      <w:r>
        <w:t>Die Beschwerdeführer führen aus, sie hätten als juristische Laien versucht, sich in der kurzen zur Verfügung stehenden Zeit möglichst umfassend in die Thematik und die Gesetzeslage einzuarbeiten. Soweit dies nicht gelungen sei, ersuchen sie das Bundesgericht, diesem Umstand Rechnung zu tragen und eventuell ungenügende Formulierungen durch gezieltes Nachfragen in juristisch unzweideutige Aussagen zu überführen, und im vorliegenden Fall dem Grundsatz "iura novit curia" besondere Beachtung zu schenken.</w:t>
      </w:r>
    </w:p>
    <w:p>
      <w:r>
        <w:t>In Zivilsachen kann eine Partei vor Bundesgericht selber Beschwerde führen oder sich von einem Rechtsanwalt vertreten lassen ( Art. 40 BGG ). Das bedeutet aber nicht, dass die Partei, die (freiwillig) ohne berufsmässige Vertretung vor dem höchsten Gericht der Schweiz einen Prozess führt, ein besonderes Entgegenkommen beanspruchen kann. Namentlich sieht das Bundesgerichtsgesetz weder eine Fragepflicht des Bundesgerichts vor noch ein Recht der Partei, nach Ablauf der Frist formell ungenügend begründete Beschwerden nachzubessern ( BGE 134 II 244 E. 2.4.2). Mit anderen Worten gelten grundsätzlich die gleichen Massstäbe für alle (vgl. THOMAS GEISER/FELIX UHLMANN, Grundlagen, in: Prozessieren vor Bundesgericht, 4. Aufl. 2014, § 1 Rz. 1.153 S. 67).</w:t>
      </w:r>
    </w:p>
    <w:p>
      <w:r>
        <w:rPr>
          <w:b/>
        </w:rPr>
        <w:t>E. 1.5</w:t>
      </w:r>
    </w:p>
    <w:p>
      <w:r>
        <w:t>Neue Begehren sind vor Bundesgericht unzulässig ( Art. 99 Abs. 2 BGG ). Soweit die Beschwerdeführer mehr oder anderes verlangen, als von der Vorinstanz beurteilt wurde, ist darauf nicht einzutreten ( BGE 136 V 362 E. 3.4.2; zuletzt: Urteil 5A_761/2016 vom 20. Juni 2017 E. 2.2.3).</w:t>
      </w:r>
    </w:p>
    <w:p>
      <w:r>
        <w:rPr>
          <w:b/>
        </w:rPr>
        <w:t>E. 2.1</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w:t>
      </w:r>
    </w:p>
    <w:p>
      <w:r>
        <w:rPr>
          <w:b/>
        </w:rPr>
        <w:t>E. 2.2</w:t>
      </w:r>
    </w:p>
    <w:p>
      <w:r>
        <w:t>Präzise formulierte Verfassungsrügen lassen sich der Beschwerdeschrift nicht entnehmen. Die Beschwerdeführer erwähnen keine einzige Verfassungsbestimmung, die verletzt worden sein könnte. Wo sie einmal das Wort "Willkür" verwenden, richtet sich ihr Vorwurf nicht an das Obergericht, sondern an die Beschwerdegegnerin, die Minderwerte in der sog. Schlussrechnung willkürlich festgesetzt haben soll (S. 8 der Beschwerdeschrift). Mit Bezug auf den Sachverhalt beschränken sich die Beschwerdeführer darauf, wohl detailliert und unter Hinweis auf konkrete Aktenstücke oder Erwägungen, den Sachverhalt aus ihrer Sicht darzustellen (die Vorinstanz habe einseitige Annahmen und Beweiswürdigungen zum Nachteil der Beschwerdeführer getroffen; die Beweise seien in den Akten nicht zweifelsfrei abgestützt; die Vorinstanz habe Beweismittel akzeptiert und berücksichtigt, obwohl deren Wahrheitsgehalt nicht bewiesen resp. nicht nachprüfbar sei; der Grundsatz "Im Zweifel für den Angeklagten" sei nicht, jedenfalls nicht ausreichend beachtet worden, da überall dort, wo Interpretationsspielraum bestand, Beweise zu Ungunsten der Beschwerdeführer ausgelegt worden seien; Beweismittel der Beschwerdeführer seien rechtswidrig nicht, nicht korrekt oder nicht ausreichend berücksichtigt worden; widersprüchliche und falsche Aussagen der Beschwerdegegnerin habe die Vorinstanz nicht erkannt und trotz Hinweisen seitens der Beschwerdeführer nicht abgeklärt, etc.) und die gegenteiligen Schlüsse der Vorinstanz als unrichtig zu bezeichnen. Ausserdem ist nicht bei jeder den Sachverhalt betreffenden Rüge einsichtig und legen die Beschwerdeführer nicht dar, inwiefern diese einen Einfluss auf das Ergebnis haben könnte. Die Beschwerde ist unzureichend begründet, weshalb auf sie insgesamt nicht eingetreten werden kann.</w:t>
      </w:r>
    </w:p>
    <w:p>
      <w:r>
        <w:rPr>
          <w:b/>
        </w:rPr>
        <w:t>E. 3</w:t>
      </w:r>
    </w:p>
    <w:p>
      <w:r>
        <w:t>Der Beschwerde könnte selbst dann kein Erfolg beschieden sein, wenn sie als Beschwerde in Zivilsachen ( Art. 72 ff. BGG ) hätte entgegengenommen werden können.</w:t>
      </w:r>
    </w:p>
    <w:p>
      <w:r>
        <w:rPr>
          <w:b/>
        </w:rPr>
        <w:t>E. 3.1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142 III 364 E. 2.4). Die Begründung hat in der Beschwerdeschrift selbst zu erfolgen, und der blosse Verweis auf Ausführungen in andern Rechtsschriften, hier insbesondere die Berufungseingabe (Beilage 4), oder auf die Akten reicht nicht aus ( BGE 140 III 115 E. 2).</w:t>
      </w:r>
    </w:p>
    <w:p>
      <w:r>
        <w:rPr>
          <w:b/>
        </w:rPr>
        <w:t>E. 3.2</w:t>
      </w:r>
    </w:p>
    <w:p>
      <w:r>
        <w:t>Das Obergericht ist auf die Begehren 5-10 nicht eingetreten, weil die Beschwerdeführer diese erstmals im Berufungsverfahren gestellt hätten, sie keine Klageänderung darstellten und damit unzulässig seien. Die Beschwerdeführer übersehen diesen Aspekt vollständig und äussern sich nicht dazu, sondern erneuern vor Bundesgericht ihre Begehren. Weil das Obergericht die fraglichen Begehren materiell nicht beurteilt hat, könnte auch das Bundesgericht diese nicht beurteilen ( BGE 135 III 513 E. 8.3), so dass auf sämtliche Begehren, die sich nicht unmittelbar auf das Bauhandwerkerpfandrecht beziehen, nicht eingetreten werden kann.</w:t>
      </w:r>
    </w:p>
    <w:p>
      <w:r>
        <w:rPr>
          <w:b/>
        </w:rPr>
        <w:t>E. 3.3</w:t>
      </w:r>
    </w:p>
    <w:p>
      <w:r>
        <w:t>Was den Sachverhalt angeht, legt das Bundesgericht seinem Urteil die Feststellungen der Vorinstanz zugrunde ( Art. 105 Abs. 1 BGG ). Gemäss Art. 97 BGG kann die Feststellung des Sachverhalts und damit die Beweiswürdigung nur gerügt werden, wenn die Sachverhaltsfeststellung offensichtlich unrichtig - wobei "offensichtlich unrichtig" die gleiche Bedeutung hat wie "willkürlich" ( Art. 9 BV ; BGE 135 III 127 E. 1.5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(zum Ganzen: BGE 140 III 264 E. 2.3). Zu den (ungenügenden) Sachverhaltsrügen gilt das in E. 2.2 Gesagte.</w:t>
      </w:r>
    </w:p>
    <w:p>
      <w:r>
        <w:rPr>
          <w:b/>
        </w:rPr>
        <w:t>E. 3.4</w:t>
      </w:r>
    </w:p>
    <w:p>
      <w:r>
        <w:t>Gründe, weshalb das Obergericht auf der Basis des von ihm festgestellten Sachverhalts das Recht falsch angewendet haben könnte, führen die Beschwerdeführer nicht substanziiert aus. Dies gilt auch hinsichtlich des letzten Begehrens, mit welchem sie beantragen, es sei ihnen im vorinstanzlichen Verfahren keine Parteientschädigung aufzuerlegen, mit der Begründung, das Schweizer Recht sehe keine Anwaltspflicht vor und der vorliegende Fall basiere auf einem nicht sehr komplexen Sachverhalt, sodass - so die Beschwerdeführer zumindest implizit - der Beizug eines Anwaltes unnötig gewesen sei. Sie übergehen vollständig, dass sich das Tragen der Prozesskosten nach dem Ausgang des Verfahrens richtet ( Art. 106 ZPO ). Eine Bestimmung, welche die Auferlegung einer Parteientschädigung von der Notwendigkeit der anwaltlichen Vertretung abhängig macht, gibt es nicht.</w:t>
      </w:r>
    </w:p>
    <w:p>
      <w:r>
        <w:t>Die Beschwerdeführer machen geltend, die Anwendung von Bundesrecht auf der Basis eines unvollständig festgestellten Sachverhalts, sei eine Bundesrechtsverletzung. Diese Aussage trifft zwar zu, indes legen sie nicht dar, welche Sachverhalte das Obergericht festzustellen unterlassen hat und in welchem rechtlichen Zusammenhang die angeblich fehlenden Sachverhaltselemente stehen bzw. inwiefern sich diese auf den Ausgang des Verfahrens auswirken würden.</w:t>
      </w:r>
    </w:p>
    <w:p>
      <w:r>
        <w:rPr>
          <w:b/>
        </w:rPr>
        <w:t>E. 4</w:t>
      </w:r>
    </w:p>
    <w:p>
      <w:r>
        <w:t>Auf die Beschwerde ist nicht einzutreten. Bei diesem Ausgang des Verfahrens unterliegen die Beschwerdeführer. Sie haben unter solidarischer Haftbarkeit für die Gerichtskosten aufzukommen ( Art. 66 Abs. 1 und 5 BGG ). Hingegen schulden sie keine Parteientschädigung, zumal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