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234/2009 vom 27. Januar 2009</w:t>
      </w:r>
    </w:p>
    <w:p>
      <w:r>
        <w:t>Bundesgericht, 2009-01-27, DE</w:t>
      </w:r>
    </w:p>
    <w:p>
      <w:r>
        <w:rPr>
          <w:b/>
        </w:rPr>
        <w:t xml:space="preserve">Quelle: </w:t>
      </w:r>
      <w:r>
        <w:t>https://mcp.opencaselaw.ch/entscheid/bger_5A_234_2009</w:t>
      </w:r>
    </w:p>
    <w:p>
      <w:r>
        <w:t>FR: TF 5A 234/2009 du 27 janvier 2009</w:t>
      </w:r>
    </w:p>
    <w:p>
      <w:r>
        <w:t>IT: TF 5A 234/2009 del 27 gennaio 2009</w:t>
      </w:r>
    </w:p>
    <w:p>
      <w:pPr>
        <w:pStyle w:val="Heading2"/>
      </w:pPr>
      <w:r>
        <w:t>Regeste</w:t>
      </w:r>
    </w:p>
    <w:p>
      <w:r>
        <w:t>Wechsel des unentgeltlichen Rechtsvertreters (Erbteilung) | Erbrecht</w:t>
      </w:r>
    </w:p>
    <w:p>
      <w:pPr>
        <w:pStyle w:val="Heading2"/>
      </w:pPr>
      <w:r>
        <w:t>Erwägungen</w:t>
      </w:r>
    </w:p>
    <w:p>
      <w:r>
        <w:rPr>
          <w:b/>
        </w:rPr>
        <w:t>E. 1.1</w:t>
      </w:r>
    </w:p>
    <w:p>
      <w:r>
        <w:t>Mit dem Entscheid des Gerichtspräsidiums Kulm vom 27. Januar 2009 ist ein letztinstanzlicher Entscheid angefochten, mit welchem ein nicht den Wünschen der Beschwerdeführerin entsprechender Rechtsanwalt zu ihrem unentgeltlichen Rechtsvertreter bestimmt worden ist. Dabei handelt es sich um einen selbständig eröffneten Zwischenentscheid (Urteil 1B_245/2008 vom 11. November 2008 E. 2), gegen den die Beschwerde nur zulässig ist, wenn er einen nicht wiedergutzumachenden Nachteil bewirken kann ( Art. 93 Abs. 1 lit. a BGG ). Rein praktische Nachteile genügen nicht; diese müssen rechtlicher Natur sein ( BGE 133 IV 335 E. 4 S. 338).</w:t>
      </w:r>
    </w:p>
    <w:p>
      <w:r>
        <w:rPr>
          <w:b/>
        </w:rPr>
        <w:t>E. 1.2</w:t>
      </w:r>
    </w:p>
    <w:p>
      <w:r>
        <w:t>Es obliegt dem Beschwerdeführer, darzutun, dass die Eintretensvoraussetzungen von Art. 93 BGG erfüllt sind, soweit deren Vorliegen nicht offensichtlich in die Augen springt (vgl. dazu BGE 134 III 426 E. 1.2 in fine; 133 III 629 E. 2.3.1 und 2.4.2).</w:t>
      </w:r>
    </w:p>
    <w:p>
      <w:r>
        <w:rPr>
          <w:b/>
        </w:rPr>
        <w:t>E. 1.2.1</w:t>
      </w:r>
    </w:p>
    <w:p>
      <w:r>
        <w:t>Wird die unentgeltliche Rechtspflege insgesamt oder die Bestellung eines unentgeltlichen Rechtsvertreters verweigert, nimmt die bundesgerichtliche Rechtsprechung grundsätzlich einen nicht wiedergutzumachenden Nachteil an ( BGE 129 I 129 E. 1.1 S. 131; s. auch BGE 133 IV 335 E. 4 S. 338). Demgegenüber hat die Abweisung eines Gesuches um einen Wechsel des amtlichen Verteidigers bzw. die Nichtbestellung des gewünschten Anwalts in aller Regel keinen nicht wiedergutzumachenden rechtlichen Nachteil zur Folge ( BGE 126 I 207 E. 2b S 211; Urteil 1B_74/2008 vom 18. Juni 2008 E. 1). Die Gefahr eines solchen wird in diesen Fällen primär angenommen, wenn der designierte Anwalt seine Aufgabe z.B. wegen einer Interessenkollision oder offensichtlicher Unfähigkeit nicht erfüllen kann (Urteil 1B_237/2007 vom 8. Januar 2008 E. 1.7; s. auch BGE 124 I 185 E. 3b S. 190). Selbst wenn die unentgeltliche Rechtspflege geniessende Partei keinen Anspruch auf die Zuordnung des von ihr gewünschten Anwalts hat, darf die bestimmende Behörde die Wünsche nicht willkürlich ausser Acht lassen (s. Urteil 1B_245/2008 vom 11. November 2008 E. 2, mit zahlreichen Hinweisen). Demzufolge ist ein nicht wiedergutzumachender Nachteil nicht auszuschliessen, wenn die vom Rechtssuchenden geäusserten Wünsche objektiv begründet sind und diese willkürlich unbeachtet blieben (s. Urteile 1B_74/2008 vom 18 Juni 2008 E. 2 und 3; 2C_241/2008 vom 27. Mai 2008 E. 4.3). Die vom Bundesgericht vor allem für strafrechtliche Verfahren entwickelte Rechtsprechung kann ohne weiteres für zivilrechtliche Verfahren übernommen werden.</w:t>
      </w:r>
    </w:p>
    <w:p>
      <w:r>
        <w:rPr>
          <w:b/>
        </w:rPr>
        <w:t>E. 1.2.2</w:t>
      </w:r>
    </w:p>
    <w:p>
      <w:r>
        <w:t>Konkret hat die Beschwerdeführerin die Bestimmung des in A.________ (Deutschland) praktizierenden, aber im Anwaltsregister des Kantons Bern eingetragenen und damit in der Schweiz zugelassenen Rechtsanwalts S.________ vorgeschlagen. Diesem Wunsch wurde mit der Begründung nicht entsprochen, dieser habe sich weder mittels Vollmacht ausgewiesen noch selbst ein Gesuch um Einsetzung als unentgeltlicher Vertreter gestellt. Zudem sei es nach der Praxis zulässig und üblich, vorab im Kanton geschäftlich niedergelassene Anwälte zu unentgeltlichen Vertretern zu bestellen, da sich diese mit dem kantonalen Verfahrensrecht am besten auskennten, was auch im Interesse der unentgeltlich prozessierenden Partei liege und ihre ordnungsgemässe Vertretung erleichtere. Hinzu komme, dass auch vor dem Hintergrund von Kostenüberlegungen die beantragte Einsetzung von S.________ abzulehnen sei, müsse doch damit gerechnet werden, dass durch Aktenversand ins Ausland, Anreisezeiten des ausländischen Vertreters etc. zusätzliche Kosten entstünden, zumal nicht davon ausgegangen werden könne, dass der gewünschte Vertreter sich allein für die Führung des Mandates überwiegend in der Schweiz aufhalten werde. Die damit verbundenen Kosten, welche vorerst aus öffentlichen Mitteln zu bezahlen seien, und Zeitversäumnisse stünden somit der beantragten Einsetzung entgegen. Diese Nachteile könnten durch die Einsetzung eines ansässigen Anwalts vermieden werden, ohne die wohlverstandenen Interessen der Beschwerdeführerin zu beeinträchtigen.</w:t>
      </w:r>
    </w:p>
    <w:p>
      <w:r>
        <w:rPr>
          <w:b/>
        </w:rPr>
        <w:t>E. 1.2.3</w:t>
      </w:r>
    </w:p>
    <w:p>
      <w:r>
        <w:t>In der Beschwerde vom 2. April 2009 führt die Beschwerdeführerin keine Gründe an, welche geeignet wären, eine Ausnahme vom Grundsatz (Interessenkollision bzw. offensichtliche Unfähigkeit) zu begründen. Sie bringt auch nichts vor, was die Begründung für die Ablehnung des von ihr gewünschten S.________ als willkürlich erscheinen liesse. Im Übrigen geht es der Beschwerdeführerin im Beschwerdeverfahren gar nicht mehr um S.________; vielmehr beantragt sie die Einsetzung von Herrn Fürsprecher Martin Schwaller als unentgeltlichen Anwalt. Dieses Begehren ist neu und damit unzulässig ( Art. 99 Abs. 2 BGG ). Unter den gegebenen Umständen bewirkt der angefochtene Zwischenentscheid keinen nicht wiedergutzumachenden Nachteil zulasten der Beschwerdeführerin, sodass nicht auf die Beschwerde eingetreten werden kann.</w:t>
      </w:r>
    </w:p>
    <w:p>
      <w:r>
        <w:rPr>
          <w:b/>
        </w:rPr>
        <w:t>E. 1.3</w:t>
      </w:r>
    </w:p>
    <w:p>
      <w:r>
        <w:t>Bei diesem Ergebnis kann auf eine Erörterung bzw. Prüfung der anderen Eintretensvoraussetzungen verzichtet werden.</w:t>
      </w:r>
    </w:p>
    <w:p>
      <w:r>
        <w:rPr>
          <w:b/>
        </w:rPr>
        <w:t>E. 2</w:t>
      </w:r>
    </w:p>
    <w:p>
      <w:r>
        <w:t>Nach dem Gesagten wird Beschwerde abgewiesen, soweit darauf eingetreten werden kann. Damit wird die Beschwerdeführerin kostenpflichtig ( Art. 66 Abs. 1 BGG ). Das Gesuch um Gewährung der unentgeltlichen Rechtspflege wird abgewiesen, zumal die Beschwerde von vornherein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