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5A_233/2015 vom 7. September 2015</w:t>
      </w:r>
    </w:p>
    <w:p>
      <w:r>
        <w:t>Bundesgericht, 2015-09-07, DE</w:t>
      </w:r>
    </w:p>
    <w:p>
      <w:r>
        <w:rPr>
          <w:b/>
        </w:rPr>
        <w:t xml:space="preserve">Quelle: </w:t>
      </w:r>
      <w:r>
        <w:t>https://mcp.opencaselaw.ch/entscheid/bger_5A_233_2015</w:t>
      </w:r>
    </w:p>
    <w:p>
      <w:r>
        <w:t>FR: TF 5A_233/2015 du 7 septembre 2015</w:t>
      </w:r>
    </w:p>
    <w:p>
      <w:r>
        <w:t>IT: TF 5A_233/2015 del 7 settembre 2015</w:t>
      </w:r>
    </w:p>
    <w:p>
      <w:pPr>
        <w:pStyle w:val="Heading2"/>
      </w:pPr>
      <w:r>
        <w:t>Erwägungen</w:t>
      </w:r>
    </w:p>
    <w:p>
      <w:r>
        <w:rPr>
          <w:b/>
        </w:rPr>
        <w:t>E. 1</w:t>
      </w:r>
    </w:p>
    <w:p>
      <w:r>
        <w:t>Der Entscheid, mit dem die provisorische Eintragung eines Bauhandwerkerpfandrechts verweigert wird, ist ein Endentscheid im Sinn von Art. 90 BGG , während der Entscheid, der die provisorische Eintragung bewilligt, einen Zwischenentscheid darstellt, der weder einen nicht wieder gutzumachenden Nachteil für den betroffenen Grundeigentümer bewirken kann ( Art. 93 Abs. 1 lit. a BGG ) noch die Voraussetzungen gemäss Art. 93 Abs. 1 lit. b BGG erfüllt ( BGE 137 III 589 E. 1.2.2 und 1.2.3 S. 591; Urteil 5A_21/2014 vom 17. April 2014 E. 1.2). Vorliegend wurde die Löschung der superprovisorisch verfügten Eintragungen angeordnet; mithin handelt es sich um einen Endentscheid im Sinn von Art. 90 BGG . Die übrigen Eintretensvoraussetzungen sind erfüllt ( Art. 72 Abs. 1, Art. 74 Abs. 1 lit. b und Art. 75 Abs. 2 lit. b BGG ).</w:t>
      </w:r>
    </w:p>
    <w:p>
      <w:r>
        <w:rPr>
          <w:b/>
        </w:rPr>
        <w:t>E. 2</w:t>
      </w:r>
    </w:p>
    <w:p>
      <w:r>
        <w:t>Entscheide im Zusammenhang mit der vorsorglichen Eintragung von Bauhandwerkerpfandrechten sind vorsorgliche Massnahmen im Sinn von Art. 98 BGG (vgl. Urteil 5A_475/2010 vom 15. September 2010 E. 1.2), so dass nur die Verletzung verfassungsmässiger Rechte angerufen werden kann. Hierfür gilt das strenge Rügeprinzip im Sinn von Art. 106 Abs. 2 BGG .</w:t>
      </w:r>
    </w:p>
    <w:p>
      <w:r>
        <w:t>Die Beschwerdeführerin macht keine Verletzung verfassungsmässiger Rechte geltend, so dass bereits aus diesem Grund nicht auf die Beschwerde eingetreten werden kann. Sodann vermöchten die rein appellatorischen Ausführungen den Substanziierungsanforderungen, wie sie an Verfassungsrügen, insbesondere an Willkürrügen zu stellen sind (vgl. dazu BGE 134 II 244 E. 2.2 S. 246), aber auch inhaltlich nicht zu genügen.</w:t>
      </w:r>
    </w:p>
    <w:p>
      <w:r>
        <w:t>Auf die Beschwerde kann somit nicht eingetreten werden.</w:t>
      </w:r>
    </w:p>
    <w:p>
      <w:r>
        <w:rPr>
          <w:b/>
        </w:rPr>
        <w:t>E. 3</w:t>
      </w:r>
    </w:p>
    <w:p>
      <w:r>
        <w:t>Bei diesem Verfahrensausgang sind die Gerichtskosten der Beschwerdeführerin aufzuerlegen ( Art. 66 Abs. 1 BGG ). Die Gegenseite hat auf eine Stellungnahme zum Gesuch um aufschiebende Wirkung verzichtet und in der Sache selbst wurden keine Vernehmlassungen eingeholt, so dass ihr insgesamt kein entschädigungspflichtiger Aufwand entstanden ist und mithin keine Parteikosten zu sprechen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