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5A_233/2014 vom 26. Juni 2014</w:t>
      </w:r>
    </w:p>
    <w:p>
      <w:r>
        <w:t>Bundesgericht, 2014-06-26, DE</w:t>
      </w:r>
    </w:p>
    <w:p>
      <w:r>
        <w:rPr>
          <w:b/>
        </w:rPr>
        <w:t xml:space="preserve">Quelle: </w:t>
      </w:r>
      <w:r>
        <w:t>https://mcp.opencaselaw.ch/entscheid/bger_5A_233_2014</w:t>
      </w:r>
    </w:p>
    <w:p>
      <w:r>
        <w:t>FR: TF 5A_233/2014 du 26 juin 2014</w:t>
      </w:r>
    </w:p>
    <w:p>
      <w:r>
        <w:t>IT: TF 5A_233/2014 del 26 giugno 2014</w:t>
      </w:r>
    </w:p>
    <w:p>
      <w:pPr>
        <w:pStyle w:val="Heading2"/>
      </w:pPr>
      <w:r>
        <w:t>Erwägungen</w:t>
      </w:r>
    </w:p>
    <w:p>
      <w:r>
        <w:rPr>
          <w:b/>
        </w:rPr>
        <w:t>E. 1</w:t>
      </w:r>
    </w:p>
    <w:p>
      <w:r>
        <w:t>Die Beschwerdeführerin beantragt, das vorliegende mit dem Verfahren 5A_772/2013 zu vereinigen. Da sich die Beschwerde 5A_233/2014 aus nachstehenden Gründen insgesamt als unzulässig erweist, ist eine Vereinigung der Verfahren nicht gerechtfertigt und der entsprechende Antrag abzuweisen.</w:t>
      </w:r>
    </w:p>
    <w:p>
      <w:r>
        <w:rPr>
          <w:b/>
        </w:rPr>
        <w:t>E. 2</w:t>
      </w:r>
    </w:p>
    <w:p>
      <w:r>
        <w:t>Gegenstand des obergerichtlichen Beschwerdeverfahrens waren der Entscheid über die aufschiebende Wirkung und die superprovisorische Umplatzierung des Kindes C.________, hingegen nicht der Entzug der Obhut der Beschwerdeführerin über ihre Kinder und deren Fremdplatzierung (E. II/1 S. 3 des angefochtenen Urteils). Auf diese beiden Fragen beschränkt sich auch der Gegenstand der Beschwerde ( BGE 136 II 165 E. 5 S. 174), so dass auf Anträge und Vorbringen der Beschwerdeführerin zu weiteren Fragen nicht einzutreten ist.</w:t>
      </w:r>
    </w:p>
    <w:p>
      <w:r>
        <w:rPr>
          <w:b/>
        </w:rPr>
        <w:t>E. 3</w:t>
      </w:r>
    </w:p>
    <w:p>
      <w:r>
        <w:t>Die superprovisorische Umplatzierung des Kindes C.________ stützt sich auf Art. 445 Abs. 2 ZGB , wonach die Erwachsenenschutzbehörde bei besonderer Dringlichkeit vorsorgliche Massnahmen sofort ohne Anhörung der am Verfahren beteiligten Personen treffen kann, diesen gleichzeitig Gelegenheit zur Stellungnahme gibt und anschliessend neu entscheidet. Die Bestimmung ist im Kindesschutzverfahren sinngemäss anwendbar ( Art. 314 Abs. 1 ZGB ). Aus den Akten der KESB, die in allen Instanzen vorgelegen haben, ergibt sich, dass bereits mit Beschluss vom 7. Januar 2014 die superprovisorische Umplatzierung des Kindes C.________ nach Anhörung der am Verfahren beteiligten Personen - der Beschwerdeführerin, des Kindsvaters und des Kindes - als vorsorgliche Kindesschutzmassnahme bestätigt wurde (act. 234). Dieser Bestätigungsbeschluss hat die vorausgegangene superprovisorische Massnahme ersetzt und dahinfallen lassen. Damit ist auch das Rechtsschutzinteresse bei einer Beschwerde gegen die superprovisorische Massnahme entfallen (Botschaft zur Änderung des Schweizerischen Zivilgesetzbuches [Erwachsenenschutz, Personenrecht und Kindesrecht] vom 28. Juni 2006, BBl 2006 7001 S. 7077). Auf die Beschwerde vom 19. März 2014 gegen die superprovisorische Umplatzierung und alle damit zusammenhängenden Fragen wie den Entzug der aufschiebenden Wirkung bezüglich der kantonalen Beschwerde gegen das Superprovisorium kann deshalb nicht eingetreten werden (vgl. BGE 139 II 404 E. 2.2 S. 414; 136 III 497 E. 2.1 S. 500). Soweit die Beschwerdeführerin geltend macht, es sei auf die Beschwerde gleichwohl einzutreten, ist darauf hinzuweisen, dass das Bundesgericht ein sog. virtuelles Interesse (zum Begriff: BGE 140 III 92 E. 1.1 S. 93 f.) praxisgemäss nur in Ausnahmefällen bejaht (zuletzt Urteile 5A_391/2013 vom 7. November 2013 E. 2 und 5A_844/2012 vom 15. August 2013 E. 2) und auch im vorliegenden Fall verneinen muss. Es kommt hinzu, dass die Beschwerdeführerin gegen den Entscheid des Obergerichts, auf die Beschwerde gegen die superprovisorische Massnahme nicht einzutreten, keine selbstständigen Rügen erhebt und einfach auf eine andere Rechtsschrift verweist. Die Rügen aber müssen in der Beschwerdeschrift selber enthalten sein; der blosse Verweis auf Ausführungen in anderen Rechtsschriften oder auf die Akten reicht nicht aus ( BGE 133 II 396 E. 3.2 S. 400; 138 III 252 E. 3.2 S. 258). Soweit sie die superprovisorische Umplatzierung des Kindes C.________ betrifft, erweist sich die Beschwerde insgesamt als unzulässig.</w:t>
      </w:r>
    </w:p>
    <w:p>
      <w:r>
        <w:rPr>
          <w:b/>
        </w:rPr>
        <w:t>E. 4</w:t>
      </w:r>
    </w:p>
    <w:p>
      <w:r>
        <w:t>Gemäss Art. 450c i.V.m. Art. 314 Abs. 1 ZGB hat die Beschwerde aufschiebende Wirkung, sofern die Kindesschutzbehörde oder die gerichtliche Beschwerdeinstanz nichts anderes verfügt. Die KESB hat einer allfälligen Beschwerde gegen die vorsorglichen Kindesschutzmassnahmen die aufschiebende Wirkung entzogen.</w:t>
      </w:r>
    </w:p>
    <w:p>
      <w:r>
        <w:rPr>
          <w:b/>
        </w:rPr>
        <w:t>E. 4.1</w:t>
      </w:r>
    </w:p>
    <w:p>
      <w:r>
        <w:t>Im Lichte des Bundesgerichtsgesetzes gelten Entscheide über die aufschiebende Wirkung als vorsorgliche Massnahmen ( BGE 137 III 475 E. 2 S. 477). Selbstständig eröffnete Entscheide über die Anordnung oder Verweigerung vorsorglicher Massnahmen für die Dauer des Hauptverfahrens sind Zwischenentscheide im Sinne von Art. 93 BGG , gegen die die Beschwerde nur zulässig ist, wenn sie einen nicht wieder gutzumachenden Nachteil bewirken können ( Art. 93 Abs. 1 lit. a BGG ). Dabei muss es sich um einen Nachteil rechtlicher Natur handeln, der auch durch einen für die Beschwerdeführerin günstigen Entscheid in der Zukunft nicht mehr behoben werden kann ( BGE 137 III 324 E. 1.1 S. 328; 138 III 46 E. 1.2 S. 47). Eine rein tatsächliche oder wirtschaftliche Erschwernis reicht in der Regel nicht, doch genügt die blosse Möglichkeit eines nicht wieder gutzumachenden Nachteils rechtlicher Natur ( BGE 137 V 314 E. 2.2.1 S. 317; 137 III 380 E. 1.2.1 S. 382). Ob ein nicht wieder gutzumachender Nachteil vorliegt, bemisst sich an den Auswirkungen des Zwischenentscheids auf die Hauptsache bzw. das Hauptverfahren ( BGE 137 III 380 E. 1.2.2 S. 383). Soweit nicht offenkundig ist, dass der Zwischenentscheid einen nicht wieder gutzumachenden Nachteil bewirken könnte, hat die Beschwerdeführerin in ihrer Eingabe darzutun, inwiefern sie einem nicht wieder gutzumachenden Nachteil ausgesetzt ist und die Voraussetzungen der Zulässigkeit ihrer Beschwerde erfüllt sind ( Art. 42 Abs. 2 BGG ; BGE 137 III 522 E. 1.3 S. 525; 138 III 46 E. 1.2 S. 47).</w:t>
      </w:r>
    </w:p>
    <w:p>
      <w:r>
        <w:rPr>
          <w:b/>
        </w:rPr>
        <w:t>E. 4.2</w:t>
      </w:r>
    </w:p>
    <w:p>
      <w:r>
        <w:t>Die Verweigerung der aufschiebenden Wirkung kann einen nicht wieder gutzumachenden Rechtsnachteil haben ( BGE 134 II 192 E. 1.4 S. 196; Urteil 5D_211/2011 vom 30. März 2012 E. 1.1, nicht veröffentlicht in BGE 138 III 378 , wohl aber in Praxis 102/2013 Nr. 6 S. 39). Er ist fallbezogen offenkundig, wenn durch den sofortigen Vollzug der Platzierung der Kinder in ein Heim der tatsächliche Aufenthaltsort der Kinder verändert und die Obhut für die Dauer des Verfahrens endgültig entzogen wird ( BGE 120 Ia 260 E. 2b S. 264; 137 III 475 E. 1 S. 477). Auf diesen nicht wieder gutzumachenden Nachteil kann sich die Beschwerdeführerin indessen nicht berufen. Wird ihrer Beschwerde gegen die vorsorglichen Kindesschutzmassnahmen antragsgemäss die aufschiebende Wirkung erteilt, gelten weiterhin die superprovisorisch angeordneten Massnahmen vom 9. Juli 2013, so dass bis zum Abschluss des Beschwerdeverfahrens ihr die Obhut entzogen bleibt und ihre beiden Kinder fremdplatziert bleiben (vgl. BGE 139 III 86 E. 1.1.1 S. 88; Urteil 4A_160/2013 vom 21. August 2013 E. 2.1, in: sic! 2014 S. 30). Ein nicht wieder gutzumachender Nachteil ist insoweit weder offenkundig noch dargetan.</w:t>
      </w:r>
    </w:p>
    <w:p>
      <w:r>
        <w:rPr>
          <w:b/>
        </w:rPr>
        <w:t>E. 4.3</w:t>
      </w:r>
    </w:p>
    <w:p>
      <w:r>
        <w:t>Soweit sich die Beschwerde gegen den Entscheid über die aufschiebende Wirkung der kantonalen Beschwerde richtet, kann darauf nicht eingetreten werden.</w:t>
      </w:r>
    </w:p>
    <w:p>
      <w:r>
        <w:rPr>
          <w:b/>
        </w:rPr>
        <w:t>E. 5</w:t>
      </w:r>
    </w:p>
    <w:p>
      <w:r>
        <w:t>Die Beschwerde erweist sich gesamthaft als unzulässig. Die Beschwerdeführerin wird damit kosten-, hingegen nicht entschädigungspflichtig ( Art. 66 Abs. 1 und Art. 68 Abs. 3 BGG ). Wie die vorstehenden Erwägungen verdeutlichen, konnten die Rechtsbegehren der Beschwerdeführerin von Beginn an keinen Erfolg haben, weshalb ihr Gesuch um unentgeltliche Rechtspflege abgewiesen werden muss ( Art. 64 BGG ). Mit Rücksicht auf ihre Fürsorgeabhängigkeit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