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5A_232/2026 vom 17. März 2026</w:t>
      </w:r>
    </w:p>
    <w:p>
      <w:r>
        <w:t>Bundesgericht, 2026-03-17, DE</w:t>
      </w:r>
    </w:p>
    <w:p>
      <w:r>
        <w:rPr>
          <w:b/>
        </w:rPr>
        <w:t xml:space="preserve">Quelle: </w:t>
      </w:r>
      <w:r>
        <w:t>https://mcp.opencaselaw.ch/entscheid/bger_5A_232_2026</w:t>
      </w:r>
    </w:p>
    <w:p>
      <w:r>
        <w:t>FR: TF 5A_232/2026 du 17 mars 2026</w:t>
      </w:r>
    </w:p>
    <w:p>
      <w:r>
        <w:t>IT: TF 5A_232/2026 del 17 marzo 2026</w:t>
      </w:r>
    </w:p>
    <w:p>
      <w:pPr>
        <w:pStyle w:val="Heading2"/>
      </w:pPr>
      <w:r>
        <w:t>Erwägungen</w:t>
      </w:r>
    </w:p>
    <w:p>
      <w:r>
        <w:rPr>
          <w:b/>
        </w:rPr>
        <w:t>E. 1</w:t>
      </w:r>
    </w:p>
    <w:p>
      <w:r>
        <w:t>Angefochten ist ein kantonal letztinstanzlicher Entscheid in einer Zivilsache ( Art. 72 Abs. 1 und Art. 75 Abs. 1 BGG ), welcher eine vorsorgliche Massnahme betrifft; mithin kann nur die Verletzung verfassungsmässiger Rechte gerügt werden ( Art. 98 BGG ). Hierfür gilt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2</w:t>
      </w:r>
    </w:p>
    <w:p>
      <w:r>
        <w:t>Der Beschwerdeführer bezeichnet verschiedene verfassungsmässige Rechte als verletzt. Seine Ausführungen bleiben indes abstrakt, indem er einzig den Inhalt der von ihm angerufenen verfassungsmässigen Rechte erläutert. Kernerwägung des angefochtenen Entscheides war jedoch, dass im Massnahmengesuch der Verfügungsanspruch und ferner der Verfügungsgrund im Sinn von Art. 261 ZPO , aber auch die (ungeschriebene weitere Voraussetzung der) zeitlichen Dringlichkeit nicht dargelegt worden seien. Dazu äussert sich der Beschwerdeführer auch vor Bundesgericht nicht in sachgerichteter Weise und schon gar nicht zeigt er auf, inwiefern der obergerichtliche Entscheid bzw. dessen Erwägungen in diesem Kontext gegen verfassungsmässige Rechte verstossen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