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5A_231/2011 vom 20. April 2011</w:t>
      </w:r>
    </w:p>
    <w:p>
      <w:r>
        <w:t>Bundesgericht, 2011-04-20, DE</w:t>
      </w:r>
    </w:p>
    <w:p>
      <w:r>
        <w:rPr>
          <w:b/>
        </w:rPr>
        <w:t xml:space="preserve">Quelle: </w:t>
      </w:r>
      <w:r>
        <w:t>https://mcp.opencaselaw.ch/entscheid/bger_5A_231_2011</w:t>
      </w:r>
    </w:p>
    <w:p>
      <w:r>
        <w:t>FR: TF 5A_231/2011 du 20 avril 2011</w:t>
      </w:r>
    </w:p>
    <w:p>
      <w:r>
        <w:t>IT: TF 5A_231/2011 del 20 aprile 2011</w:t>
      </w:r>
    </w:p>
    <w:p>
      <w:pPr>
        <w:pStyle w:val="Heading2"/>
      </w:pPr>
      <w:r>
        <w:t>Erwägungen</w:t>
      </w:r>
    </w:p>
    <w:p>
      <w:r>
        <w:rPr>
          <w:b/>
        </w:rPr>
        <w:t>E. 1.1</w:t>
      </w:r>
    </w:p>
    <w:p>
      <w:r>
        <w:t>Gegen den letztinstanzlich ergangenen Beschluss der kantonalen Aufsichtsbehörde in Schuldbetreibungs- und Konkurssachen ist die Beschwerde in Zivilsachen unabhängig eines Streitwertes gegeben ( Art. 72 Abs. 2 lit. a, Art. 74 Abs. 2 lit. c BGG ).</w:t>
      </w:r>
    </w:p>
    <w:p>
      <w:r>
        <w:rPr>
          <w:b/>
        </w:rPr>
        <w:t>E. 1.2</w:t>
      </w:r>
    </w:p>
    <w:p>
      <w:r>
        <w:t>In der Beschwerdeschrift ist in gedrängter Form darzulegen, inwiefern der angefochten Akt Recht verletzt ( Art. 42 Abs. 2 BGG ). Mit der Beschwerde kann unter anderem die Verletzung von Bundesrecht gerügt werden ( Art. 95 lit. a BGG ). Tatsachen und Beweismittel sind in der Regel nicht zulässig und neue Begehren werden vom Bundesgericht nicht berücksichtigt ( Art. 99 BGG ). Die Beschwerdeführerin verlangte bereits vor der oberen kantonalen Aufsichtsbehörde zumindest sinngemäss die Herabsetzung der Gebührenrechnung auf Fr. 25.--. Sie wandte sich an dieser Stelle ausschliesslich gegen die Berechnung der Zustellungskosten. Indes stellte sie im kantonalen Verfahren die Gebühr für die Ausstellung des Zahlungsbefehls nicht in Frage. Diese Bestreitung erfolgt erst im bundesgerichtlichen Verfahren. Unter der Geltung von altArt. 19 SchKG bzw. Art. 78 ff. OG konnten nicht erstmals Positionen einer Gebührenrechnung in Frage gestellt werden (Urteil 7B.99/2001 vom 15. Juni 2001 E. 2b). Nichts anderes gilt nach BGG. Das entsprechende Begehren vor Bundesgericht führt zu einer Ausweitung des Streitgegenstandes und ist unzulässig ( Art. 99 Abs. 2 BGG ). Insoweit können die Vorbringen der Beschwerdeführerin nicht berücksichtigt werden.</w:t>
      </w:r>
    </w:p>
    <w:p>
      <w:r>
        <w:rPr>
          <w:b/>
        </w:rPr>
        <w:t>E. 2</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 Art. 64 Abs. 1 SchKG ). Wird keine der erwähnten Personen angetroffen, so ist die Betreibungsurkunde zuhanden des Schuldners einem Gemeinde- oder Polizeibeamten zu übergeben ( Art. 64 Abs. 2 SchKG ). Dass es sich beim Zahlungsbefehl um eine Betreibungsurkunde handelt, steht zweifelsfrei fest ( BGE 120 III 57 E. 2a S. 58). Das Betreibungsamt hat diese zwingende Regelung zu beachten, zumal die korrekte Zustellung der Betreibungsurkunde für das Zwangsvollstreckungsverfahren von grosser Bedeutung ist (ANGST, in: Basler Kommentar zum Bundesgesetz über Schuldbetreibung und Konkurs, 2. Aufl. 2010, N. 2 zu Art. 64). Zwar erweist sich die in der Praxis häufig gewählte Form der Abholungseinladung als zulässig, da sie den Betriebenen nur informiert, aber nicht verpflichtet ( BGE 136 III 155 E. 3.1 S. 156, mit Hinweisen). Daraus lässt sich in keinem Fall eine Pflicht des Betreibungsamtes ableiten, auf diese Weise vorzugehen, und dem Betriebenen steht auch kein solcher Anspruch zu.</w:t>
      </w:r>
    </w:p>
    <w:p>
      <w:r>
        <w:rPr>
          <w:b/>
        </w:rPr>
        <w:t>E. 2.1</w:t>
      </w:r>
    </w:p>
    <w:p>
      <w:r>
        <w:t>Die obere kantonale Aufsichtsbehörde hat vorab festgestellt, dass der Betreibungsbeamte den Betriebenen am 13. Juli 2010 an seiner Privatadresse nicht angetroffen hatte und ihm daher den Zahlungsbefehl nicht aushändigen konnte. Gestützt auf Art. 16 Abs. 3 und Art. 13 Abs. 2 GebV SchKG habe das Betreibungsamt für diesen Versuch zu Recht eine Gebühr von Fr. 12.-- in Rechnung gestellt. Damit sei die Gebührenrechnung von insgesamt Fr. 42.-- nicht zu beanstanden.</w:t>
      </w:r>
    </w:p>
    <w:p>
      <w:r>
        <w:rPr>
          <w:b/>
        </w:rPr>
        <w:t>E. 2.2</w:t>
      </w:r>
    </w:p>
    <w:p>
      <w:r>
        <w:t>Die Beschwerdeführerin wehrt sich nicht gegen die konkrete Berechnung der Zustellungsgebühr, weshalb diese vorliegend nicht zu überprüfen ist. Hingegen vertritt sie die Ansicht, eine solche dürfe grundsätzlich nicht erhoben werden. Ein Zustellungsversuch liege gar nicht vor, da eine berufstätige Person kaum je tagsüber zu Hause angetroffen werden könne. Ob diese Behauptung der heutigen Realität entspricht, kann offen bleiben. Geht der Betreibungsbeamte wie im konkreten Fall vor, so tut er dies in Beachtung von Art. 64 SchKG . Kann die Zustellung des Zahlungsbefehls an den Betriebenen nicht erfolgen, so liegt ein blosser Versuch vor, der nach Art. 16 Abs. 3 GebV SchKG gebührenpflichtig ist. Insoweit ist die Beschwerde abzuweisen.</w:t>
      </w:r>
    </w:p>
    <w:p>
      <w:r>
        <w:rPr>
          <w:b/>
        </w:rPr>
        <w:t>E. 3</w:t>
      </w:r>
    </w:p>
    <w:p>
      <w:r>
        <w:t>Nach dem Gesagten ist der Beschwerde kein Erfolg beschieden. Ausgangsgemäss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