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5A_22/2022 vom 13. Januar 2022</w:t>
      </w:r>
    </w:p>
    <w:p>
      <w:r>
        <w:t>Bundesgericht, 2022-01-13, DE</w:t>
      </w:r>
    </w:p>
    <w:p>
      <w:r>
        <w:rPr>
          <w:b/>
        </w:rPr>
        <w:t xml:space="preserve">Quelle: </w:t>
      </w:r>
      <w:r>
        <w:t>https://mcp.opencaselaw.ch/entscheid/bger_5A_22_2022</w:t>
      </w:r>
    </w:p>
    <w:p>
      <w:r>
        <w:t>FR: TF 5A_22/2022 du 13 janvier 2022</w:t>
      </w:r>
    </w:p>
    <w:p>
      <w:r>
        <w:t>IT: TF 5A_22/2022 del 13 gennaio 2022</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dessen Erwägungen erfordert ( BGE 142 III 364 E. 2.4 S. 368).</w:t>
      </w:r>
    </w:p>
    <w:p>
      <w:r>
        <w:rPr>
          <w:b/>
        </w:rPr>
        <w:t>E. 2</w:t>
      </w:r>
    </w:p>
    <w:p>
      <w:r>
        <w:t>Die Beschwerdeführerin hält fest, dass sie mit den Erwägungen des Verwaltungsgerichts nicht einverstanden sei, da es sich um Tatsachenverdrehung handle und auf keine Kuhhaut gehe. Nähere Ausführungen finden sich nicht. Somit ist keine Rechtsverletzung - und schon gar keine willkürliche Tatsachenfeststellung ( Art. 105 Abs. 1 und Art. 106 Abs. 2 BGG ; 140 III 264 E. 2.3 S. 266) - dargetan.</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