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5A_229/2024 vom 11. April 2024</w:t>
      </w:r>
    </w:p>
    <w:p>
      <w:r>
        <w:t>Bundesgericht, 2024-04-11, DE</w:t>
      </w:r>
    </w:p>
    <w:p>
      <w:r>
        <w:rPr>
          <w:b/>
        </w:rPr>
        <w:t xml:space="preserve">Quelle: </w:t>
      </w:r>
      <w:r>
        <w:t>https://mcp.opencaselaw.ch/entscheid/bger_5A_229_2024</w:t>
      </w:r>
    </w:p>
    <w:p>
      <w:r>
        <w:t>FR: TF 5A_229/2024 du 11 avril 2024</w:t>
      </w:r>
    </w:p>
    <w:p>
      <w:r>
        <w:t>IT: TF 5A_229/2024 del 11 aprile 2024</w:t>
      </w:r>
    </w:p>
    <w:p>
      <w:pPr>
        <w:pStyle w:val="Heading2"/>
      </w:pPr>
      <w:r>
        <w:t>Erwägungen</w:t>
      </w:r>
    </w:p>
    <w:p>
      <w:r>
        <w:rPr>
          <w:b/>
        </w:rPr>
        <w:t>E. 1</w:t>
      </w:r>
    </w:p>
    <w:p>
      <w:r>
        <w:t>Die Beschwerde ist auf Französisch und damit in einer Amtssprache verfasst ( Art. 42 Abs. 1 BGG ), das vorliegende Verfahren wird jedoch in der Sprache des angefochtenen Entscheides geführt ( Art. 54 Abs. 1 BGG ).</w:t>
      </w:r>
    </w:p>
    <w:p>
      <w:r>
        <w:rPr>
          <w:b/>
        </w:rPr>
        <w:t>E. 2</w:t>
      </w:r>
    </w:p>
    <w:p>
      <w:r>
        <w:t>Die Vorinstanz ist auf das Rechtsmittel des Beschwerdeführers nicht eingetreten. Anfechtungsgegenstand ist deshalb grundsätzlich nur die Frage, ob sie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3</w:t>
      </w:r>
    </w:p>
    <w:p>
      <w:r>
        <w:t>Das Obergericht hat dem Beschwerdeführer vorgehalten, sich nicht mit den Erwägungen des KESB-Entscheides auseinandergesetzt zu haben. Entgegen den Behauptungen des Beschwerdeführers stütze sich dieser nicht auf einen singulären Vorfall, bei welchem er in Anwesenheit des Kindes gestürzt sei. Vielmehr habe die KESB basierend auf dem Gutachten und den medizinischen Berichten befunden, dass angesichts des übermässigen Alkoholkonsums unbegleitete Besuche zur Zeit nicht möglich seien. Ausserdem erblicke die KESB im Verhalten gegenüber der Mutter (häusliche Gewalt, Bedrohung) eine zusätzliche Kindeswohlgefährdung, welche die Einschränkung des persönlichen Verkehrs erfordere. Zu all dem äussere sich der Beschwerdeführer nicht.</w:t>
      </w:r>
    </w:p>
    <w:p>
      <w:r>
        <w:rPr>
          <w:b/>
        </w:rPr>
        <w:t>E. 4</w:t>
      </w:r>
    </w:p>
    <w:p>
      <w:r>
        <w:t>In seiner Eingabe an das Bundesgericht setzt sich der Beschwerdeführer nicht mit den Nichteintretenserwägungen des angefochtenen Entscheides auseinander. Er legt nicht dar, inwiefern er seine kantonale Beschwerde sachgerichtet begründet hätte und deshalb auf diese einzutreten gewesen wäre. Er beschränkt sich auf wenige Aussagen direkt zur Sache, indem er festhält, er wolle die Rückkehr zu einem normalen unbegleiteten Besuchsrecht an jedem zweiten Wochenende und die KESB sei viel zu weit gegangen bzw. habe es mit den Restriktionen übertrieben.</w:t>
      </w:r>
    </w:p>
    <w:p>
      <w:r>
        <w:rPr>
          <w:b/>
        </w:rPr>
        <w:t>E. 5</w:t>
      </w:r>
    </w:p>
    <w:p>
      <w:r>
        <w:t>Nach dem Gesagten erweist sich die Beschwerde als offensichtlich nicht hinreichend begründet, weshalb auf sie nicht eingetreten werden kann und der Präsident im vereinfachten Verfahren entscheidet ( Art. 108 Abs. 1 lit. b BGG ).</w:t>
      </w:r>
    </w:p>
    <w:p>
      <w:r>
        <w:rPr>
          <w:b/>
        </w:rPr>
        <w:t>E. 6</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